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B4469" w14:textId="77777777" w:rsidR="0071644F" w:rsidRDefault="00A73DB1" w:rsidP="008E4277">
      <w:pPr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Предварительное информирование граждан и юридических лиц </w:t>
      </w:r>
      <w:r w:rsidR="0071644F">
        <w:rPr>
          <w:sz w:val="28"/>
          <w:szCs w:val="28"/>
        </w:rPr>
        <w:t xml:space="preserve"> </w:t>
      </w:r>
    </w:p>
    <w:p w14:paraId="477319C0" w14:textId="2668FBA9" w:rsidR="008E4277" w:rsidRPr="00277130" w:rsidRDefault="00A73DB1" w:rsidP="008E4277">
      <w:pPr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17571C">
        <w:rPr>
          <w:sz w:val="28"/>
          <w:szCs w:val="28"/>
        </w:rPr>
        <w:t xml:space="preserve"> планиру</w:t>
      </w:r>
      <w:r>
        <w:rPr>
          <w:sz w:val="28"/>
          <w:szCs w:val="28"/>
        </w:rPr>
        <w:t>емой хозяйственной деятельности</w:t>
      </w:r>
      <w:r w:rsidR="008E4277" w:rsidRPr="00277130">
        <w:rPr>
          <w:sz w:val="28"/>
          <w:szCs w:val="28"/>
        </w:rPr>
        <w:t xml:space="preserve">: </w:t>
      </w:r>
    </w:p>
    <w:p w14:paraId="1697CCB9" w14:textId="054967F1" w:rsidR="00632126" w:rsidRPr="00632126" w:rsidRDefault="0017571C" w:rsidP="00632126">
      <w:pPr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A799E">
        <w:rPr>
          <w:sz w:val="28"/>
          <w:szCs w:val="28"/>
        </w:rPr>
        <w:t>Техническая модернизация части цеха для сбора и сортировки вторичных материальных ресурсов (</w:t>
      </w:r>
      <w:proofErr w:type="gramStart"/>
      <w:r w:rsidR="005A799E">
        <w:rPr>
          <w:sz w:val="28"/>
          <w:szCs w:val="28"/>
        </w:rPr>
        <w:t>здание</w:t>
      </w:r>
      <w:proofErr w:type="gramEnd"/>
      <w:r w:rsidR="005A799E">
        <w:rPr>
          <w:sz w:val="28"/>
          <w:szCs w:val="28"/>
        </w:rPr>
        <w:t xml:space="preserve"> специализированное иного назначения) с инв. №350/С-40746, расположенного по адресу: г. Гомель, </w:t>
      </w:r>
      <w:r w:rsidR="00A8061D">
        <w:rPr>
          <w:sz w:val="28"/>
          <w:szCs w:val="28"/>
        </w:rPr>
        <w:t xml:space="preserve">              </w:t>
      </w:r>
      <w:r w:rsidR="005A799E">
        <w:rPr>
          <w:sz w:val="28"/>
          <w:szCs w:val="28"/>
        </w:rPr>
        <w:t>ул. Могилевская, 20/1, с устройством участка по производству стабилизирующей волокнистой гранулированной добавки</w:t>
      </w:r>
      <w:r>
        <w:rPr>
          <w:sz w:val="28"/>
          <w:szCs w:val="28"/>
        </w:rPr>
        <w:t>»</w:t>
      </w:r>
    </w:p>
    <w:p w14:paraId="6B8A92F5" w14:textId="58733FD8" w:rsidR="007C2453" w:rsidRPr="007C2453" w:rsidRDefault="007C2453" w:rsidP="007C2453">
      <w:pPr>
        <w:ind w:left="0" w:right="-426" w:firstLine="0"/>
        <w:jc w:val="center"/>
        <w:rPr>
          <w:sz w:val="28"/>
          <w:szCs w:val="28"/>
        </w:rPr>
      </w:pPr>
    </w:p>
    <w:p w14:paraId="20D4FCF1" w14:textId="2CD54AAE" w:rsidR="008E4277" w:rsidRPr="00B16287" w:rsidRDefault="008E4277" w:rsidP="00B16287">
      <w:pPr>
        <w:pStyle w:val="2"/>
        <w:numPr>
          <w:ilvl w:val="0"/>
          <w:numId w:val="7"/>
        </w:numPr>
        <w:tabs>
          <w:tab w:val="left" w:pos="993"/>
        </w:tabs>
        <w:spacing w:before="0" w:after="0"/>
        <w:ind w:right="0"/>
        <w:rPr>
          <w:sz w:val="28"/>
          <w:szCs w:val="28"/>
        </w:rPr>
      </w:pPr>
      <w:bookmarkStart w:id="0" w:name="_Toc311563415"/>
      <w:r w:rsidRPr="00B16287">
        <w:rPr>
          <w:rFonts w:ascii="Times New Roman" w:hAnsi="Times New Roman"/>
          <w:i w:val="0"/>
          <w:spacing w:val="2"/>
        </w:rPr>
        <w:t>П</w:t>
      </w:r>
      <w:r w:rsidRPr="00B16287">
        <w:rPr>
          <w:rFonts w:ascii="Times New Roman" w:hAnsi="Times New Roman"/>
          <w:i w:val="0"/>
          <w:spacing w:val="2"/>
          <w:sz w:val="28"/>
          <w:szCs w:val="28"/>
        </w:rPr>
        <w:t xml:space="preserve">лан-график работ по проведению </w:t>
      </w:r>
      <w:bookmarkEnd w:id="0"/>
      <w:r w:rsidRPr="00B16287">
        <w:rPr>
          <w:rFonts w:ascii="Times New Roman" w:hAnsi="Times New Roman"/>
          <w:i w:val="0"/>
          <w:spacing w:val="2"/>
          <w:sz w:val="28"/>
          <w:szCs w:val="28"/>
        </w:rPr>
        <w:t>ОВОС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693"/>
      </w:tblGrid>
      <w:tr w:rsidR="00C5283F" w:rsidRPr="00B77DD2" w14:paraId="71E52667" w14:textId="77777777" w:rsidTr="00B16287">
        <w:tc>
          <w:tcPr>
            <w:tcW w:w="6804" w:type="dxa"/>
            <w:shd w:val="clear" w:color="auto" w:fill="auto"/>
          </w:tcPr>
          <w:p w14:paraId="25F867F8" w14:textId="77777777" w:rsidR="00C5283F" w:rsidRPr="00B77DD2" w:rsidRDefault="00C5283F" w:rsidP="00C5283F">
            <w:pPr>
              <w:ind w:left="0" w:right="0" w:firstLine="0"/>
              <w:rPr>
                <w:sz w:val="28"/>
                <w:szCs w:val="28"/>
              </w:rPr>
            </w:pPr>
            <w:r w:rsidRPr="003F75CA">
              <w:rPr>
                <w:szCs w:val="24"/>
              </w:rPr>
              <w:t>Подготовка программы проведения ОВОС</w:t>
            </w:r>
          </w:p>
        </w:tc>
        <w:tc>
          <w:tcPr>
            <w:tcW w:w="2693" w:type="dxa"/>
            <w:shd w:val="clear" w:color="auto" w:fill="auto"/>
          </w:tcPr>
          <w:p w14:paraId="45B95455" w14:textId="13E5B489" w:rsidR="00C5283F" w:rsidRPr="000C0F92" w:rsidRDefault="005A799E" w:rsidP="0075020B">
            <w:pPr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Cs w:val="24"/>
              </w:rPr>
              <w:t>сентябрь</w:t>
            </w:r>
            <w:r w:rsidR="00C5283F" w:rsidRPr="000C0F92">
              <w:rPr>
                <w:szCs w:val="24"/>
              </w:rPr>
              <w:t xml:space="preserve"> 202</w:t>
            </w:r>
            <w:r w:rsidR="007C2453">
              <w:rPr>
                <w:szCs w:val="24"/>
              </w:rPr>
              <w:t>3</w:t>
            </w:r>
            <w:r w:rsidR="00C5283F" w:rsidRPr="000C0F92">
              <w:rPr>
                <w:szCs w:val="24"/>
              </w:rPr>
              <w:t xml:space="preserve"> г.</w:t>
            </w:r>
          </w:p>
        </w:tc>
      </w:tr>
      <w:tr w:rsidR="00C5283F" w:rsidRPr="00B77DD2" w14:paraId="23B21822" w14:textId="77777777" w:rsidTr="00B16287">
        <w:tc>
          <w:tcPr>
            <w:tcW w:w="6804" w:type="dxa"/>
            <w:shd w:val="clear" w:color="auto" w:fill="auto"/>
          </w:tcPr>
          <w:p w14:paraId="7EFF4256" w14:textId="748D3778" w:rsidR="00C5283F" w:rsidRDefault="00C5283F" w:rsidP="00C5283F">
            <w:pPr>
              <w:ind w:left="0" w:right="0" w:firstLine="0"/>
              <w:rPr>
                <w:szCs w:val="24"/>
              </w:rPr>
            </w:pPr>
            <w:r w:rsidRPr="00AC2F44">
              <w:rPr>
                <w:szCs w:val="24"/>
              </w:rPr>
              <w:t>Проведение предварительного информирования граждан и юридических лиц о планируемой хозяйственной и иной деятельности</w:t>
            </w:r>
          </w:p>
          <w:p w14:paraId="21A0E670" w14:textId="700349FE" w:rsidR="00C5283F" w:rsidRPr="00B77DD2" w:rsidRDefault="0017571C" w:rsidP="0017571C">
            <w:pPr>
              <w:ind w:left="0" w:right="0" w:firstLine="0"/>
              <w:rPr>
                <w:sz w:val="28"/>
                <w:szCs w:val="28"/>
              </w:rPr>
            </w:pPr>
            <w:r w:rsidRPr="0017571C">
              <w:rPr>
                <w:i/>
                <w:szCs w:val="24"/>
              </w:rPr>
              <w:t>(примечание: в течение месяца после утверждения программы проведения ОВОС графика работ по проведению ОВОС)</w:t>
            </w:r>
          </w:p>
        </w:tc>
        <w:tc>
          <w:tcPr>
            <w:tcW w:w="2693" w:type="dxa"/>
            <w:shd w:val="clear" w:color="auto" w:fill="auto"/>
          </w:tcPr>
          <w:p w14:paraId="29901AD2" w14:textId="78F04031" w:rsidR="00C5283F" w:rsidRDefault="002D1F71" w:rsidP="00794D91">
            <w:pPr>
              <w:ind w:left="720" w:right="0" w:hanging="720"/>
              <w:jc w:val="center"/>
              <w:rPr>
                <w:szCs w:val="24"/>
              </w:rPr>
            </w:pPr>
            <w:r w:rsidRPr="002D1F71">
              <w:rPr>
                <w:szCs w:val="24"/>
              </w:rPr>
              <w:t>декабрь</w:t>
            </w:r>
            <w:r w:rsidR="009675E1" w:rsidRPr="002D1F71">
              <w:rPr>
                <w:szCs w:val="24"/>
              </w:rPr>
              <w:t xml:space="preserve"> </w:t>
            </w:r>
            <w:r w:rsidR="00C5283F" w:rsidRPr="002D1F71">
              <w:rPr>
                <w:szCs w:val="24"/>
              </w:rPr>
              <w:t>202</w:t>
            </w:r>
            <w:r w:rsidR="007C2453" w:rsidRPr="002D1F71">
              <w:rPr>
                <w:szCs w:val="24"/>
              </w:rPr>
              <w:t>3</w:t>
            </w:r>
            <w:r w:rsidR="00C5283F" w:rsidRPr="002D1F71">
              <w:rPr>
                <w:szCs w:val="24"/>
              </w:rPr>
              <w:t xml:space="preserve"> г.</w:t>
            </w:r>
            <w:r w:rsidR="00E212D7">
              <w:rPr>
                <w:szCs w:val="24"/>
              </w:rPr>
              <w:t xml:space="preserve"> –</w:t>
            </w:r>
          </w:p>
          <w:p w14:paraId="34B520A5" w14:textId="4B90F57A" w:rsidR="00E212D7" w:rsidRPr="002D1F71" w:rsidRDefault="00E212D7" w:rsidP="00794D91">
            <w:pPr>
              <w:ind w:left="720" w:right="0" w:hanging="72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Cs w:val="24"/>
              </w:rPr>
              <w:t>январь 2024 г.</w:t>
            </w:r>
          </w:p>
        </w:tc>
      </w:tr>
      <w:tr w:rsidR="00C5283F" w:rsidRPr="00C5283F" w14:paraId="0DF4E3B1" w14:textId="77777777" w:rsidTr="00B16287">
        <w:tc>
          <w:tcPr>
            <w:tcW w:w="6804" w:type="dxa"/>
            <w:shd w:val="clear" w:color="auto" w:fill="auto"/>
          </w:tcPr>
          <w:p w14:paraId="0254A10E" w14:textId="3F8AA4A0" w:rsidR="00C5283F" w:rsidRPr="00C5283F" w:rsidRDefault="0017571C" w:rsidP="00C5283F">
            <w:pPr>
              <w:ind w:left="0" w:right="0" w:firstLine="0"/>
              <w:rPr>
                <w:sz w:val="28"/>
                <w:szCs w:val="28"/>
              </w:rPr>
            </w:pPr>
            <w:r>
              <w:rPr>
                <w:szCs w:val="24"/>
              </w:rPr>
              <w:t>Проведение ОВОС и подготовка отчета об ОВОС</w:t>
            </w:r>
          </w:p>
        </w:tc>
        <w:tc>
          <w:tcPr>
            <w:tcW w:w="2693" w:type="dxa"/>
            <w:shd w:val="clear" w:color="auto" w:fill="auto"/>
          </w:tcPr>
          <w:p w14:paraId="03B33B41" w14:textId="558C4BC8" w:rsidR="005A799E" w:rsidRPr="005A799E" w:rsidRDefault="007839E0" w:rsidP="005A799E">
            <w:pPr>
              <w:ind w:left="0" w:right="0" w:firstLine="0"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я</w:t>
            </w:r>
            <w:bookmarkStart w:id="1" w:name="_GoBack"/>
            <w:bookmarkEnd w:id="1"/>
            <w:r>
              <w:rPr>
                <w:szCs w:val="24"/>
              </w:rPr>
              <w:t>нварь 2024</w:t>
            </w:r>
          </w:p>
        </w:tc>
      </w:tr>
      <w:tr w:rsidR="00C5283F" w:rsidRPr="00C5283F" w14:paraId="00F428F8" w14:textId="77777777" w:rsidTr="00B16287">
        <w:tc>
          <w:tcPr>
            <w:tcW w:w="6804" w:type="dxa"/>
            <w:shd w:val="clear" w:color="auto" w:fill="auto"/>
          </w:tcPr>
          <w:p w14:paraId="675C2970" w14:textId="77777777" w:rsidR="00C5283F" w:rsidRDefault="0017571C" w:rsidP="00C5283F">
            <w:pPr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Проведение общественных обсуждений на территории Республики Беларусь</w:t>
            </w:r>
          </w:p>
          <w:p w14:paraId="06CFB4D1" w14:textId="69D72888" w:rsidR="0017571C" w:rsidRPr="0075020B" w:rsidRDefault="0017571C" w:rsidP="00C5283F">
            <w:pPr>
              <w:ind w:left="0" w:right="0" w:firstLine="0"/>
              <w:rPr>
                <w:i/>
                <w:sz w:val="28"/>
                <w:szCs w:val="28"/>
              </w:rPr>
            </w:pPr>
            <w:r w:rsidRPr="0075020B">
              <w:rPr>
                <w:i/>
                <w:szCs w:val="24"/>
              </w:rPr>
              <w:t>(примечание: не менее 30 календарных дней)</w:t>
            </w:r>
          </w:p>
        </w:tc>
        <w:tc>
          <w:tcPr>
            <w:tcW w:w="2693" w:type="dxa"/>
            <w:shd w:val="clear" w:color="auto" w:fill="auto"/>
          </w:tcPr>
          <w:p w14:paraId="69587101" w14:textId="297812CE" w:rsidR="002D1F71" w:rsidRPr="00255EC2" w:rsidRDefault="00E212D7" w:rsidP="0075020B">
            <w:pPr>
              <w:ind w:left="0" w:right="0" w:firstLine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Cs w:val="24"/>
              </w:rPr>
              <w:t>я</w:t>
            </w:r>
            <w:r w:rsidR="002D1F71">
              <w:rPr>
                <w:szCs w:val="24"/>
              </w:rPr>
              <w:t>нварь</w:t>
            </w:r>
            <w:r>
              <w:rPr>
                <w:szCs w:val="24"/>
              </w:rPr>
              <w:t>-февраль</w:t>
            </w:r>
            <w:r w:rsidR="002D1F71">
              <w:rPr>
                <w:szCs w:val="24"/>
              </w:rPr>
              <w:t xml:space="preserve"> 2024 г.</w:t>
            </w:r>
          </w:p>
        </w:tc>
      </w:tr>
      <w:tr w:rsidR="00C5283F" w:rsidRPr="00B77DD2" w14:paraId="25ED074C" w14:textId="77777777" w:rsidTr="00B16287">
        <w:tc>
          <w:tcPr>
            <w:tcW w:w="6804" w:type="dxa"/>
            <w:shd w:val="clear" w:color="auto" w:fill="auto"/>
          </w:tcPr>
          <w:p w14:paraId="31D4559C" w14:textId="0DA21FA6" w:rsidR="00C5283F" w:rsidRPr="00B77DD2" w:rsidRDefault="0075020B" w:rsidP="00C5283F">
            <w:pPr>
              <w:ind w:left="0" w:right="0" w:firstLine="0"/>
              <w:rPr>
                <w:sz w:val="28"/>
                <w:szCs w:val="28"/>
              </w:rPr>
            </w:pPr>
            <w:r>
              <w:rPr>
                <w:szCs w:val="24"/>
              </w:rPr>
              <w:t>Проведение собрания по обсуждению отчета об ОВОС</w:t>
            </w:r>
          </w:p>
        </w:tc>
        <w:tc>
          <w:tcPr>
            <w:tcW w:w="2693" w:type="dxa"/>
            <w:shd w:val="clear" w:color="auto" w:fill="auto"/>
          </w:tcPr>
          <w:p w14:paraId="39E51F42" w14:textId="1C153EBD" w:rsidR="00C5283F" w:rsidRPr="0075020B" w:rsidRDefault="0075020B" w:rsidP="0075020B">
            <w:pPr>
              <w:ind w:left="0" w:right="0" w:firstLine="0"/>
              <w:jc w:val="center"/>
              <w:rPr>
                <w:szCs w:val="24"/>
              </w:rPr>
            </w:pPr>
            <w:r w:rsidRPr="0075020B">
              <w:rPr>
                <w:szCs w:val="24"/>
              </w:rPr>
              <w:t>Будет сообщено дополнительно, в случае обращения граждан</w:t>
            </w:r>
          </w:p>
        </w:tc>
      </w:tr>
      <w:tr w:rsidR="00C5283F" w:rsidRPr="00B77DD2" w14:paraId="5ADA6C46" w14:textId="77777777" w:rsidTr="00B16287">
        <w:tc>
          <w:tcPr>
            <w:tcW w:w="6804" w:type="dxa"/>
            <w:shd w:val="clear" w:color="auto" w:fill="auto"/>
          </w:tcPr>
          <w:p w14:paraId="528067A2" w14:textId="77777777" w:rsidR="00C5283F" w:rsidRDefault="0075020B" w:rsidP="00C5283F">
            <w:pPr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Доработка отчета об ОВОС по замечаниям</w:t>
            </w:r>
          </w:p>
          <w:p w14:paraId="113DC860" w14:textId="71DA40A9" w:rsidR="0075020B" w:rsidRPr="00B81B4D" w:rsidRDefault="0075020B" w:rsidP="00C5283F">
            <w:pPr>
              <w:ind w:left="0" w:right="0" w:firstLine="0"/>
              <w:rPr>
                <w:i/>
                <w:sz w:val="28"/>
                <w:szCs w:val="28"/>
              </w:rPr>
            </w:pPr>
            <w:r w:rsidRPr="00B81B4D">
              <w:rPr>
                <w:i/>
                <w:szCs w:val="24"/>
              </w:rPr>
              <w:t>(примечание: в течение пяти рабочих дней со дня</w:t>
            </w:r>
            <w:r w:rsidR="00B81B4D" w:rsidRPr="00B81B4D">
              <w:rPr>
                <w:i/>
                <w:szCs w:val="24"/>
              </w:rPr>
              <w:t xml:space="preserve"> проведения собрания оформляется протокол проведения собрания с аргументированными ответами на вопросы, замечания и предложения)</w:t>
            </w:r>
          </w:p>
        </w:tc>
        <w:tc>
          <w:tcPr>
            <w:tcW w:w="2693" w:type="dxa"/>
            <w:shd w:val="clear" w:color="auto" w:fill="auto"/>
          </w:tcPr>
          <w:p w14:paraId="0A3CD595" w14:textId="649BC1E1" w:rsidR="00C5283F" w:rsidRPr="00255EC2" w:rsidRDefault="00B81B4D" w:rsidP="00B81B4D">
            <w:pPr>
              <w:ind w:left="0" w:right="0" w:firstLine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Cs w:val="24"/>
              </w:rPr>
              <w:t>Дополнительная неделя, в случае обращения граждан</w:t>
            </w:r>
          </w:p>
        </w:tc>
      </w:tr>
      <w:tr w:rsidR="00C5283F" w:rsidRPr="00B77DD2" w14:paraId="32A2B05B" w14:textId="77777777" w:rsidTr="00B16287">
        <w:tc>
          <w:tcPr>
            <w:tcW w:w="6804" w:type="dxa"/>
            <w:shd w:val="clear" w:color="auto" w:fill="auto"/>
          </w:tcPr>
          <w:p w14:paraId="5B86B890" w14:textId="00EC5B27" w:rsidR="00C5283F" w:rsidRPr="00B81B4D" w:rsidRDefault="00B81B4D" w:rsidP="00C5283F">
            <w:pPr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 xml:space="preserve">Предоставление отчета об ОВОС в составе </w:t>
            </w:r>
            <w:proofErr w:type="spellStart"/>
            <w:r>
              <w:rPr>
                <w:szCs w:val="24"/>
              </w:rPr>
              <w:t>предпроектной</w:t>
            </w:r>
            <w:proofErr w:type="spellEnd"/>
            <w:r>
              <w:rPr>
                <w:szCs w:val="24"/>
              </w:rPr>
              <w:t xml:space="preserve"> (</w:t>
            </w:r>
            <w:proofErr w:type="spellStart"/>
            <w:r>
              <w:rPr>
                <w:szCs w:val="24"/>
              </w:rPr>
              <w:t>предынвестиционной</w:t>
            </w:r>
            <w:proofErr w:type="spellEnd"/>
            <w:r>
              <w:rPr>
                <w:szCs w:val="24"/>
              </w:rPr>
              <w:t>), проектной документации на государственную экологическую экспертизу</w:t>
            </w:r>
          </w:p>
        </w:tc>
        <w:tc>
          <w:tcPr>
            <w:tcW w:w="2693" w:type="dxa"/>
            <w:shd w:val="clear" w:color="auto" w:fill="auto"/>
          </w:tcPr>
          <w:p w14:paraId="3097AC33" w14:textId="27B5AE7A" w:rsidR="00C5283F" w:rsidRDefault="00E212D7" w:rsidP="00E212D7">
            <w:pPr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ф</w:t>
            </w:r>
            <w:r w:rsidR="002D1F71">
              <w:rPr>
                <w:szCs w:val="24"/>
              </w:rPr>
              <w:t>евраль</w:t>
            </w:r>
            <w:r>
              <w:rPr>
                <w:szCs w:val="24"/>
              </w:rPr>
              <w:t xml:space="preserve">-март </w:t>
            </w:r>
            <w:r w:rsidR="00AB628C">
              <w:rPr>
                <w:szCs w:val="24"/>
              </w:rPr>
              <w:t>2024 г.</w:t>
            </w:r>
          </w:p>
          <w:p w14:paraId="6BA4F6F3" w14:textId="4D8F1840" w:rsidR="00B81B4D" w:rsidRPr="00B81B4D" w:rsidRDefault="00B81B4D" w:rsidP="00B81B4D">
            <w:pPr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(срок проведения                       ГЭЭ – 1 месяц)</w:t>
            </w:r>
          </w:p>
        </w:tc>
      </w:tr>
      <w:tr w:rsidR="00C5283F" w:rsidRPr="00B77DD2" w14:paraId="49A5C69A" w14:textId="77777777" w:rsidTr="00B16287">
        <w:tc>
          <w:tcPr>
            <w:tcW w:w="6804" w:type="dxa"/>
            <w:shd w:val="clear" w:color="auto" w:fill="auto"/>
          </w:tcPr>
          <w:p w14:paraId="34100130" w14:textId="77777777" w:rsidR="00C5283F" w:rsidRDefault="00B81B4D" w:rsidP="00C5283F">
            <w:pPr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Принятие решения в отношении планируемой деятельности</w:t>
            </w:r>
          </w:p>
          <w:p w14:paraId="26545213" w14:textId="6A6CD0F9" w:rsidR="00B81B4D" w:rsidRPr="00AC2F44" w:rsidRDefault="00B81B4D" w:rsidP="00C5283F">
            <w:pPr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 xml:space="preserve">(примечание: в течение 15 рабочих дней после получения заключения государственной </w:t>
            </w:r>
            <w:r w:rsidR="00A17888">
              <w:rPr>
                <w:szCs w:val="24"/>
              </w:rPr>
              <w:t>экологической экспертизы)</w:t>
            </w:r>
          </w:p>
        </w:tc>
        <w:tc>
          <w:tcPr>
            <w:tcW w:w="2693" w:type="dxa"/>
            <w:shd w:val="clear" w:color="auto" w:fill="auto"/>
          </w:tcPr>
          <w:p w14:paraId="4344D247" w14:textId="77777777" w:rsidR="00A17888" w:rsidRDefault="00A17888" w:rsidP="00A17888">
            <w:pPr>
              <w:ind w:left="720" w:right="0" w:hanging="720"/>
              <w:jc w:val="center"/>
              <w:rPr>
                <w:szCs w:val="24"/>
              </w:rPr>
            </w:pPr>
            <w:r>
              <w:rPr>
                <w:szCs w:val="24"/>
              </w:rPr>
              <w:t>После прохождения</w:t>
            </w:r>
          </w:p>
          <w:p w14:paraId="3E2052ED" w14:textId="294326D8" w:rsidR="00A17888" w:rsidRDefault="00A17888" w:rsidP="00A17888">
            <w:pPr>
              <w:ind w:left="720" w:right="0" w:hanging="720"/>
              <w:jc w:val="center"/>
              <w:rPr>
                <w:szCs w:val="24"/>
              </w:rPr>
            </w:pPr>
            <w:r>
              <w:rPr>
                <w:szCs w:val="24"/>
              </w:rPr>
              <w:t>государственной</w:t>
            </w:r>
          </w:p>
          <w:p w14:paraId="7A6C3EB4" w14:textId="1035FA2C" w:rsidR="00A17888" w:rsidRDefault="00A17888" w:rsidP="00A17888">
            <w:pPr>
              <w:ind w:left="720" w:right="0" w:hanging="720"/>
              <w:jc w:val="center"/>
              <w:rPr>
                <w:szCs w:val="24"/>
              </w:rPr>
            </w:pPr>
            <w:r>
              <w:rPr>
                <w:szCs w:val="24"/>
              </w:rPr>
              <w:t>экологической</w:t>
            </w:r>
          </w:p>
          <w:p w14:paraId="0BDD7387" w14:textId="79883BD4" w:rsidR="00C5283F" w:rsidRPr="00255EC2" w:rsidRDefault="00A17888" w:rsidP="00A17888">
            <w:pPr>
              <w:ind w:left="720" w:right="0" w:hanging="720"/>
              <w:jc w:val="center"/>
              <w:rPr>
                <w:szCs w:val="24"/>
              </w:rPr>
            </w:pPr>
            <w:r>
              <w:rPr>
                <w:szCs w:val="24"/>
              </w:rPr>
              <w:t>экспертизы</w:t>
            </w:r>
          </w:p>
        </w:tc>
      </w:tr>
    </w:tbl>
    <w:p w14:paraId="79749839" w14:textId="5F01155D" w:rsidR="00622A06" w:rsidRPr="00BE0F0B" w:rsidRDefault="00622A06" w:rsidP="00622A06">
      <w:pPr>
        <w:ind w:left="0" w:right="141" w:firstLine="0"/>
        <w:rPr>
          <w:b/>
          <w:spacing w:val="2"/>
          <w:szCs w:val="24"/>
        </w:rPr>
      </w:pPr>
      <w:r w:rsidRPr="00622A06">
        <w:rPr>
          <w:spacing w:val="2"/>
          <w:szCs w:val="24"/>
        </w:rPr>
        <w:tab/>
      </w:r>
      <w:r w:rsidRPr="00BE0F0B">
        <w:rPr>
          <w:b/>
          <w:spacing w:val="2"/>
          <w:szCs w:val="24"/>
        </w:rPr>
        <w:t xml:space="preserve">    2. Сведения о заказчике</w:t>
      </w:r>
    </w:p>
    <w:p w14:paraId="479D82AD" w14:textId="367CD41F" w:rsidR="00622A06" w:rsidRDefault="009F3CAA" w:rsidP="009F3CAA">
      <w:pPr>
        <w:ind w:left="0" w:right="141"/>
        <w:rPr>
          <w:spacing w:val="2"/>
          <w:szCs w:val="24"/>
        </w:rPr>
      </w:pPr>
      <w:r>
        <w:rPr>
          <w:spacing w:val="2"/>
          <w:szCs w:val="24"/>
        </w:rPr>
        <w:t xml:space="preserve">  </w:t>
      </w:r>
      <w:r w:rsidR="00622A06">
        <w:rPr>
          <w:spacing w:val="2"/>
          <w:szCs w:val="24"/>
        </w:rPr>
        <w:t xml:space="preserve">Основным </w:t>
      </w:r>
      <w:r>
        <w:rPr>
          <w:spacing w:val="2"/>
          <w:szCs w:val="24"/>
        </w:rPr>
        <w:t xml:space="preserve">  </w:t>
      </w:r>
      <w:r w:rsidR="00622A06">
        <w:rPr>
          <w:spacing w:val="2"/>
          <w:szCs w:val="24"/>
        </w:rPr>
        <w:t>видом</w:t>
      </w:r>
      <w:r>
        <w:rPr>
          <w:spacing w:val="2"/>
          <w:szCs w:val="24"/>
        </w:rPr>
        <w:t xml:space="preserve">  </w:t>
      </w:r>
      <w:r w:rsidR="00622A06">
        <w:rPr>
          <w:spacing w:val="2"/>
          <w:szCs w:val="24"/>
        </w:rPr>
        <w:t xml:space="preserve"> деятельности</w:t>
      </w:r>
      <w:r>
        <w:rPr>
          <w:spacing w:val="2"/>
          <w:szCs w:val="24"/>
        </w:rPr>
        <w:t xml:space="preserve">  </w:t>
      </w:r>
      <w:r w:rsidR="00622A06">
        <w:rPr>
          <w:spacing w:val="2"/>
          <w:szCs w:val="24"/>
        </w:rPr>
        <w:t xml:space="preserve"> </w:t>
      </w:r>
      <w:proofErr w:type="gramStart"/>
      <w:r w:rsidR="00622A06">
        <w:rPr>
          <w:spacing w:val="2"/>
          <w:szCs w:val="24"/>
        </w:rPr>
        <w:t>ОАО</w:t>
      </w:r>
      <w:r w:rsidR="00A73DB1">
        <w:rPr>
          <w:spacing w:val="2"/>
          <w:szCs w:val="24"/>
        </w:rPr>
        <w:t xml:space="preserve">  </w:t>
      </w:r>
      <w:r w:rsidR="00622A06">
        <w:rPr>
          <w:spacing w:val="2"/>
          <w:szCs w:val="24"/>
        </w:rPr>
        <w:t>«</w:t>
      </w:r>
      <w:proofErr w:type="gramEnd"/>
      <w:r w:rsidR="00622A06">
        <w:rPr>
          <w:spacing w:val="2"/>
          <w:szCs w:val="24"/>
        </w:rPr>
        <w:t xml:space="preserve">ГОМЕЛЬХИМТОРГ» </w:t>
      </w:r>
      <w:r w:rsidR="00BE0F0B">
        <w:rPr>
          <w:spacing w:val="2"/>
          <w:szCs w:val="24"/>
        </w:rPr>
        <w:t xml:space="preserve">  </w:t>
      </w:r>
      <w:r w:rsidR="00622A06">
        <w:rPr>
          <w:spacing w:val="2"/>
          <w:szCs w:val="24"/>
        </w:rPr>
        <w:t>является</w:t>
      </w:r>
      <w:r w:rsidR="00BE0F0B">
        <w:rPr>
          <w:spacing w:val="2"/>
          <w:szCs w:val="24"/>
        </w:rPr>
        <w:t xml:space="preserve">  </w:t>
      </w:r>
      <w:r w:rsidR="00622A06">
        <w:rPr>
          <w:spacing w:val="2"/>
          <w:szCs w:val="24"/>
        </w:rPr>
        <w:t xml:space="preserve"> оптовая торговля продукцией производственно-технического назначения.</w:t>
      </w:r>
    </w:p>
    <w:p w14:paraId="1C118E52" w14:textId="77777777" w:rsidR="009A78B7" w:rsidRDefault="00622A06" w:rsidP="00BE0F0B">
      <w:pPr>
        <w:ind w:left="0" w:right="-284"/>
        <w:rPr>
          <w:szCs w:val="24"/>
        </w:rPr>
      </w:pPr>
      <w:r>
        <w:rPr>
          <w:spacing w:val="2"/>
          <w:szCs w:val="24"/>
        </w:rPr>
        <w:tab/>
      </w:r>
      <w:r w:rsidR="009A78B7">
        <w:rPr>
          <w:spacing w:val="2"/>
          <w:szCs w:val="24"/>
        </w:rPr>
        <w:t xml:space="preserve">Предприятие специализируется на реализации химической продукции, </w:t>
      </w:r>
      <w:r w:rsidR="009A78B7">
        <w:rPr>
          <w:szCs w:val="24"/>
        </w:rPr>
        <w:t>резинотехнических изделий, строительных материалов, металлопродукции, лакокрасочной продукции, автошин.</w:t>
      </w:r>
    </w:p>
    <w:p w14:paraId="1760F336" w14:textId="05E041A3" w:rsidR="00622A06" w:rsidRDefault="009A78B7" w:rsidP="00BE0F0B">
      <w:pPr>
        <w:ind w:left="0" w:right="141"/>
        <w:rPr>
          <w:spacing w:val="2"/>
          <w:szCs w:val="24"/>
        </w:rPr>
      </w:pPr>
      <w:r>
        <w:rPr>
          <w:spacing w:val="2"/>
          <w:szCs w:val="24"/>
        </w:rPr>
        <w:t xml:space="preserve">1. </w:t>
      </w:r>
      <w:r w:rsidRPr="009A78B7">
        <w:rPr>
          <w:spacing w:val="2"/>
          <w:szCs w:val="24"/>
        </w:rPr>
        <w:t xml:space="preserve">Полное наименование </w:t>
      </w:r>
      <w:proofErr w:type="spellStart"/>
      <w:r w:rsidRPr="009A78B7">
        <w:rPr>
          <w:spacing w:val="2"/>
          <w:szCs w:val="24"/>
        </w:rPr>
        <w:t>природопользователя</w:t>
      </w:r>
      <w:proofErr w:type="spellEnd"/>
      <w:r w:rsidRPr="009A78B7">
        <w:rPr>
          <w:spacing w:val="2"/>
          <w:szCs w:val="24"/>
        </w:rPr>
        <w:t xml:space="preserve"> в соответствии с уставом –</w:t>
      </w:r>
      <w:r>
        <w:rPr>
          <w:spacing w:val="2"/>
          <w:szCs w:val="24"/>
        </w:rPr>
        <w:t xml:space="preserve"> О</w:t>
      </w:r>
      <w:r w:rsidRPr="009A78B7">
        <w:rPr>
          <w:spacing w:val="2"/>
          <w:szCs w:val="24"/>
        </w:rPr>
        <w:t>ткрытое акционерной общества «ГОМЕЛЬХИМТОРГ»</w:t>
      </w:r>
      <w:r>
        <w:rPr>
          <w:spacing w:val="2"/>
          <w:szCs w:val="24"/>
        </w:rPr>
        <w:t>.</w:t>
      </w:r>
    </w:p>
    <w:p w14:paraId="484F40F6" w14:textId="1D17268E" w:rsidR="009A78B7" w:rsidRDefault="009A78B7" w:rsidP="00BE0F0B">
      <w:pPr>
        <w:ind w:left="0" w:right="141"/>
        <w:rPr>
          <w:spacing w:val="2"/>
          <w:szCs w:val="24"/>
        </w:rPr>
      </w:pPr>
      <w:r>
        <w:rPr>
          <w:spacing w:val="2"/>
          <w:szCs w:val="24"/>
        </w:rPr>
        <w:t>2. Наименование вышестоящей организации – Открытое акционерное общество «</w:t>
      </w:r>
      <w:proofErr w:type="spellStart"/>
      <w:r>
        <w:rPr>
          <w:spacing w:val="2"/>
          <w:szCs w:val="24"/>
        </w:rPr>
        <w:t>Белресурсы</w:t>
      </w:r>
      <w:proofErr w:type="spellEnd"/>
      <w:r>
        <w:rPr>
          <w:spacing w:val="2"/>
          <w:szCs w:val="24"/>
        </w:rPr>
        <w:t>» - Управляющая компания холдинг «</w:t>
      </w:r>
      <w:proofErr w:type="spellStart"/>
      <w:r>
        <w:rPr>
          <w:spacing w:val="2"/>
          <w:szCs w:val="24"/>
        </w:rPr>
        <w:t>Белресурсы</w:t>
      </w:r>
      <w:proofErr w:type="spellEnd"/>
      <w:r>
        <w:rPr>
          <w:spacing w:val="2"/>
          <w:szCs w:val="24"/>
        </w:rPr>
        <w:t>».</w:t>
      </w:r>
    </w:p>
    <w:p w14:paraId="1C2EDE7E" w14:textId="640F0DDF" w:rsidR="009A78B7" w:rsidRDefault="009A78B7" w:rsidP="00BE0F0B">
      <w:pPr>
        <w:ind w:left="0" w:right="141"/>
        <w:rPr>
          <w:spacing w:val="2"/>
          <w:szCs w:val="24"/>
        </w:rPr>
      </w:pPr>
      <w:r>
        <w:rPr>
          <w:spacing w:val="2"/>
          <w:szCs w:val="24"/>
        </w:rPr>
        <w:t>3. Орган управления – Собрание акционеров.</w:t>
      </w:r>
    </w:p>
    <w:p w14:paraId="30941874" w14:textId="7AA4C14B" w:rsidR="009A78B7" w:rsidRDefault="009A78B7" w:rsidP="009A78B7">
      <w:pPr>
        <w:ind w:left="0" w:right="141"/>
        <w:rPr>
          <w:spacing w:val="2"/>
          <w:szCs w:val="24"/>
        </w:rPr>
      </w:pPr>
      <w:r>
        <w:rPr>
          <w:spacing w:val="2"/>
          <w:szCs w:val="24"/>
        </w:rPr>
        <w:t>4. Форма собственности – частная.</w:t>
      </w:r>
    </w:p>
    <w:p w14:paraId="1D9855E1" w14:textId="424D6A92" w:rsidR="009A78B7" w:rsidRDefault="009A78B7" w:rsidP="009A78B7">
      <w:pPr>
        <w:ind w:left="0" w:right="141"/>
        <w:rPr>
          <w:spacing w:val="2"/>
          <w:szCs w:val="24"/>
        </w:rPr>
      </w:pPr>
      <w:r>
        <w:rPr>
          <w:spacing w:val="2"/>
          <w:szCs w:val="24"/>
        </w:rPr>
        <w:t>5. Место нахождения – Республика Беларусь, г. Гомель, ул. Могилевская, 20.</w:t>
      </w:r>
    </w:p>
    <w:p w14:paraId="2EFE35C3" w14:textId="052BB188" w:rsidR="009A78B7" w:rsidRPr="009A78B7" w:rsidRDefault="009A78B7" w:rsidP="009A78B7">
      <w:pPr>
        <w:ind w:left="0" w:right="141"/>
        <w:rPr>
          <w:spacing w:val="2"/>
          <w:szCs w:val="24"/>
        </w:rPr>
      </w:pPr>
      <w:r>
        <w:rPr>
          <w:spacing w:val="2"/>
          <w:szCs w:val="24"/>
        </w:rPr>
        <w:t>6. Генеральный директор – Петровский Александр Михайлович.</w:t>
      </w:r>
    </w:p>
    <w:p w14:paraId="7B2E6E63" w14:textId="77777777" w:rsidR="00622A06" w:rsidRPr="00622A06" w:rsidRDefault="00622A06" w:rsidP="008E4277">
      <w:pPr>
        <w:ind w:left="851" w:right="141" w:firstLine="851"/>
        <w:rPr>
          <w:spacing w:val="2"/>
          <w:sz w:val="28"/>
          <w:szCs w:val="28"/>
        </w:rPr>
      </w:pPr>
    </w:p>
    <w:p w14:paraId="0388C16A" w14:textId="24D62D2B" w:rsidR="008E4277" w:rsidRPr="00255EC2" w:rsidRDefault="00622A06" w:rsidP="009D2E83">
      <w:pPr>
        <w:pStyle w:val="2"/>
        <w:tabs>
          <w:tab w:val="left" w:pos="993"/>
        </w:tabs>
        <w:spacing w:before="0" w:after="0"/>
        <w:ind w:left="0" w:right="-284" w:firstLine="0"/>
        <w:rPr>
          <w:szCs w:val="24"/>
        </w:rPr>
      </w:pPr>
      <w:r>
        <w:rPr>
          <w:rFonts w:ascii="Times New Roman" w:hAnsi="Times New Roman"/>
          <w:i w:val="0"/>
          <w:spacing w:val="2"/>
          <w:szCs w:val="24"/>
        </w:rPr>
        <w:tab/>
        <w:t xml:space="preserve">3. </w:t>
      </w:r>
      <w:r w:rsidR="008E4277" w:rsidRPr="00255EC2">
        <w:rPr>
          <w:rFonts w:ascii="Times New Roman" w:hAnsi="Times New Roman"/>
          <w:i w:val="0"/>
          <w:spacing w:val="2"/>
          <w:szCs w:val="24"/>
        </w:rPr>
        <w:t>Сведения о планируемой деятельности и альтернативах ее реализации и (или размещения)</w:t>
      </w:r>
      <w:r w:rsidR="001F60E3">
        <w:rPr>
          <w:rFonts w:ascii="Times New Roman" w:hAnsi="Times New Roman"/>
          <w:i w:val="0"/>
          <w:spacing w:val="2"/>
          <w:szCs w:val="24"/>
        </w:rPr>
        <w:t>.</w:t>
      </w:r>
    </w:p>
    <w:p w14:paraId="127D1793" w14:textId="21C6AFFD" w:rsidR="004944B5" w:rsidRDefault="00A17888" w:rsidP="004944B5">
      <w:pPr>
        <w:ind w:left="0" w:right="-284"/>
        <w:rPr>
          <w:szCs w:val="24"/>
        </w:rPr>
      </w:pPr>
      <w:r>
        <w:rPr>
          <w:szCs w:val="24"/>
        </w:rPr>
        <w:t>Основным видом деятельности ОАО «</w:t>
      </w:r>
      <w:proofErr w:type="spellStart"/>
      <w:r>
        <w:rPr>
          <w:szCs w:val="24"/>
        </w:rPr>
        <w:t>Гомельхимторг</w:t>
      </w:r>
      <w:proofErr w:type="spellEnd"/>
      <w:r>
        <w:rPr>
          <w:szCs w:val="24"/>
        </w:rPr>
        <w:t>» является оптовая торговля продукцией производственно-технического назначения. Предприятие специализируется на реализации химической продукции, резинотехнических изделий, строительных материалов, металлопродукции, лакокрасочной продукции, автошин.</w:t>
      </w:r>
    </w:p>
    <w:p w14:paraId="5E5A4477" w14:textId="18651D46" w:rsidR="00A17888" w:rsidRDefault="00A17888" w:rsidP="004944B5">
      <w:pPr>
        <w:ind w:left="0" w:right="-284"/>
        <w:rPr>
          <w:szCs w:val="24"/>
        </w:rPr>
      </w:pPr>
      <w:r>
        <w:rPr>
          <w:szCs w:val="24"/>
        </w:rPr>
        <w:t>На земельном участке расположены административные здания, производственные</w:t>
      </w:r>
      <w:r w:rsidR="00B712C3">
        <w:rPr>
          <w:szCs w:val="24"/>
        </w:rPr>
        <w:t xml:space="preserve"> и складские здания и сооружения.</w:t>
      </w:r>
    </w:p>
    <w:p w14:paraId="7A20C7D7" w14:textId="0F4E2758" w:rsidR="00B712C3" w:rsidRDefault="00B712C3" w:rsidP="004944B5">
      <w:pPr>
        <w:ind w:left="0" w:right="-284"/>
        <w:rPr>
          <w:szCs w:val="24"/>
        </w:rPr>
      </w:pPr>
      <w:r>
        <w:rPr>
          <w:szCs w:val="24"/>
        </w:rPr>
        <w:t>Рельеф участка ровный, спокойный. Территория предприятия огорожена. На территории имеются производственные и административные здания, внутриплощадочные проезды и площадки, внутризаводские железнодорожные пути.</w:t>
      </w:r>
    </w:p>
    <w:p w14:paraId="44481663" w14:textId="56140A93" w:rsidR="00115A4F" w:rsidRDefault="00115A4F" w:rsidP="004944B5">
      <w:pPr>
        <w:ind w:left="0" w:right="-284"/>
        <w:rPr>
          <w:szCs w:val="24"/>
        </w:rPr>
      </w:pPr>
      <w:r>
        <w:rPr>
          <w:szCs w:val="24"/>
        </w:rPr>
        <w:t>Земельный участок не имеет ограничений прав в использовании земель.</w:t>
      </w:r>
    </w:p>
    <w:p w14:paraId="3AE1A3FE" w14:textId="43A88C62" w:rsidR="00B712C3" w:rsidRDefault="00B712C3" w:rsidP="004944B5">
      <w:pPr>
        <w:ind w:left="0" w:right="-284"/>
        <w:rPr>
          <w:szCs w:val="24"/>
        </w:rPr>
      </w:pPr>
      <w:r>
        <w:rPr>
          <w:szCs w:val="24"/>
        </w:rPr>
        <w:t xml:space="preserve">Объект проектирования предназначен для производства </w:t>
      </w:r>
      <w:r w:rsidR="00707BB8">
        <w:rPr>
          <w:szCs w:val="24"/>
        </w:rPr>
        <w:t>стабилизирующей добавки в асфальтобетонную смесь (ЩМА).</w:t>
      </w:r>
    </w:p>
    <w:p w14:paraId="3E3A0F68" w14:textId="77777777" w:rsidR="00DE2BBA" w:rsidRDefault="00707BB8" w:rsidP="004944B5">
      <w:pPr>
        <w:ind w:left="0" w:right="-284"/>
        <w:rPr>
          <w:szCs w:val="24"/>
        </w:rPr>
      </w:pPr>
      <w:r>
        <w:rPr>
          <w:szCs w:val="24"/>
        </w:rPr>
        <w:t>Изготавливается на основании целлюлозного волокна и битумного связующего в гранулированной форме. Используется для автоматизированного производства асфальтобетона (для автоматных дозаторов). Добавки для ЩМА прошли испытания в ГП «</w:t>
      </w:r>
      <w:proofErr w:type="spellStart"/>
      <w:r>
        <w:rPr>
          <w:szCs w:val="24"/>
        </w:rPr>
        <w:t>БелдорНИИ</w:t>
      </w:r>
      <w:proofErr w:type="spellEnd"/>
      <w:r>
        <w:rPr>
          <w:szCs w:val="24"/>
        </w:rPr>
        <w:t>», по всем необходимым показателям соответствуют требованиям СТБ 1769-2007 и успешно применяются для производства щебеночно</w:t>
      </w:r>
      <w:r w:rsidR="00DE2BBA">
        <w:rPr>
          <w:szCs w:val="24"/>
        </w:rPr>
        <w:t xml:space="preserve">-мастичных смесей для </w:t>
      </w:r>
      <w:proofErr w:type="spellStart"/>
      <w:r w:rsidR="00DE2BBA">
        <w:rPr>
          <w:szCs w:val="24"/>
        </w:rPr>
        <w:t>верхих</w:t>
      </w:r>
      <w:proofErr w:type="spellEnd"/>
      <w:r w:rsidR="00DE2BBA">
        <w:rPr>
          <w:szCs w:val="24"/>
        </w:rPr>
        <w:t xml:space="preserve"> слоев одежды всех категорий для удержания битума от стекания в щебеночно-мастичных смесях, как при транспортировке, так и при укладке. </w:t>
      </w:r>
    </w:p>
    <w:p w14:paraId="0B940F4C" w14:textId="53CF2BFC" w:rsidR="00707BB8" w:rsidRDefault="00DE2BBA" w:rsidP="004944B5">
      <w:pPr>
        <w:ind w:left="0" w:right="-284"/>
        <w:rPr>
          <w:szCs w:val="24"/>
        </w:rPr>
      </w:pPr>
      <w:r>
        <w:rPr>
          <w:szCs w:val="24"/>
        </w:rPr>
        <w:t>Добавки для ЩМА производятся из целлюлозного сырья по усовершенствованным технологиям на высокотехнологичном современном оборудовании фирмы А</w:t>
      </w:r>
      <w:r>
        <w:rPr>
          <w:szCs w:val="24"/>
          <w:lang w:val="en-US"/>
        </w:rPr>
        <w:t>MIS</w:t>
      </w:r>
      <w:r w:rsidRPr="00DE2BBA">
        <w:rPr>
          <w:szCs w:val="24"/>
        </w:rPr>
        <w:t xml:space="preserve"> </w:t>
      </w:r>
      <w:r>
        <w:rPr>
          <w:szCs w:val="24"/>
          <w:lang w:val="en-US"/>
        </w:rPr>
        <w:t>GmbH</w:t>
      </w:r>
      <w:r w:rsidRPr="00DE2BBA">
        <w:rPr>
          <w:szCs w:val="24"/>
        </w:rPr>
        <w:t xml:space="preserve"> </w:t>
      </w:r>
      <w:r>
        <w:rPr>
          <w:szCs w:val="24"/>
        </w:rPr>
        <w:t>(Германия).</w:t>
      </w:r>
    </w:p>
    <w:p w14:paraId="4DD744ED" w14:textId="06221776" w:rsidR="00DE2BBA" w:rsidRDefault="00DE2BBA" w:rsidP="004944B5">
      <w:pPr>
        <w:ind w:left="0" w:right="-284"/>
        <w:rPr>
          <w:szCs w:val="24"/>
        </w:rPr>
      </w:pPr>
      <w:r>
        <w:rPr>
          <w:szCs w:val="24"/>
        </w:rPr>
        <w:t>Комплексное оборудование представляет собой технологическую линию с последовательно установленными рабочими агрегатами, проходя по которым исходный материал приобретает вид готового продукта.</w:t>
      </w:r>
    </w:p>
    <w:p w14:paraId="64EABF97" w14:textId="0AF3AF9F" w:rsidR="00DE2BBA" w:rsidRDefault="00DE2BBA" w:rsidP="004944B5">
      <w:pPr>
        <w:ind w:left="0" w:right="-284"/>
        <w:rPr>
          <w:szCs w:val="24"/>
        </w:rPr>
      </w:pPr>
      <w:r>
        <w:rPr>
          <w:szCs w:val="24"/>
        </w:rPr>
        <w:t>При размещении участка по производству стабилизирующей волокнистой добавки рассматривалось несколько альтернативных вариантов.</w:t>
      </w:r>
    </w:p>
    <w:p w14:paraId="41A51C56" w14:textId="3EBC05B8" w:rsidR="00DE2BBA" w:rsidRDefault="00DE2BBA" w:rsidP="004944B5">
      <w:pPr>
        <w:ind w:left="0" w:right="-284"/>
        <w:rPr>
          <w:szCs w:val="24"/>
        </w:rPr>
      </w:pPr>
      <w:r>
        <w:rPr>
          <w:szCs w:val="24"/>
        </w:rPr>
        <w:t>Вариант 1 – Техническая модернизация части цеха для сбора и сортировки вторичных материальных ресурсов (</w:t>
      </w:r>
      <w:proofErr w:type="gramStart"/>
      <w:r>
        <w:rPr>
          <w:szCs w:val="24"/>
        </w:rPr>
        <w:t>здание</w:t>
      </w:r>
      <w:proofErr w:type="gramEnd"/>
      <w:r>
        <w:rPr>
          <w:szCs w:val="24"/>
        </w:rPr>
        <w:t xml:space="preserve"> специализированное иного назначения) с инв. №350/С-40746, расположенного по адресу: г. Гомель, ул. Могилевская, 20/1, с устройством участка по производству стабилизирующий волокнистой гранулированной добавки.</w:t>
      </w:r>
    </w:p>
    <w:p w14:paraId="4E344121" w14:textId="6B824803" w:rsidR="009D2DAB" w:rsidRDefault="009D2DAB" w:rsidP="004944B5">
      <w:pPr>
        <w:ind w:left="0" w:right="-284"/>
        <w:rPr>
          <w:szCs w:val="24"/>
        </w:rPr>
      </w:pPr>
      <w:r>
        <w:rPr>
          <w:szCs w:val="24"/>
        </w:rPr>
        <w:t>Целесообразность осуществления данного проекта и размещения на конкретной площадке состоит в следующем:</w:t>
      </w:r>
    </w:p>
    <w:p w14:paraId="0011827F" w14:textId="41909271" w:rsidR="009D2DAB" w:rsidRDefault="009D2DAB" w:rsidP="004944B5">
      <w:pPr>
        <w:ind w:left="0" w:right="-284"/>
        <w:rPr>
          <w:szCs w:val="24"/>
        </w:rPr>
      </w:pPr>
      <w:r>
        <w:rPr>
          <w:szCs w:val="24"/>
        </w:rPr>
        <w:tab/>
        <w:t>на площадку привозят исходное сырье для переработки;</w:t>
      </w:r>
    </w:p>
    <w:p w14:paraId="7638A4D1" w14:textId="54C90E65" w:rsidR="009D2DAB" w:rsidRDefault="009D2DAB" w:rsidP="004944B5">
      <w:pPr>
        <w:ind w:left="0" w:right="-284"/>
        <w:rPr>
          <w:szCs w:val="24"/>
        </w:rPr>
      </w:pPr>
      <w:r>
        <w:rPr>
          <w:szCs w:val="24"/>
        </w:rPr>
        <w:tab/>
        <w:t>налажена схема автомобильного сообщения с цехом по существующим проездам, площадки для отгрузки готовой продукции;</w:t>
      </w:r>
    </w:p>
    <w:p w14:paraId="43085701" w14:textId="1A2C2F7C" w:rsidR="009D2DAB" w:rsidRDefault="009D2DAB" w:rsidP="004944B5">
      <w:pPr>
        <w:ind w:left="0" w:right="-284"/>
        <w:rPr>
          <w:szCs w:val="24"/>
        </w:rPr>
      </w:pPr>
      <w:r>
        <w:rPr>
          <w:szCs w:val="24"/>
        </w:rPr>
        <w:tab/>
        <w:t>выпуск новой востребованной на внутреннем рынке продукции;</w:t>
      </w:r>
    </w:p>
    <w:p w14:paraId="4B548AD1" w14:textId="16759A81" w:rsidR="009D2DAB" w:rsidRDefault="009D2DAB" w:rsidP="004944B5">
      <w:pPr>
        <w:ind w:left="0" w:right="-284"/>
        <w:rPr>
          <w:szCs w:val="24"/>
        </w:rPr>
      </w:pPr>
      <w:r>
        <w:rPr>
          <w:szCs w:val="24"/>
        </w:rPr>
        <w:tab/>
        <w:t>улучшение экономической ситуации на предприятии;</w:t>
      </w:r>
    </w:p>
    <w:p w14:paraId="6CBDC1F5" w14:textId="40B4865C" w:rsidR="009D2DAB" w:rsidRDefault="009D2DAB" w:rsidP="004944B5">
      <w:pPr>
        <w:ind w:left="0" w:right="-284"/>
        <w:rPr>
          <w:szCs w:val="24"/>
        </w:rPr>
      </w:pPr>
      <w:r>
        <w:rPr>
          <w:szCs w:val="24"/>
        </w:rPr>
        <w:tab/>
        <w:t>создание новых рабочих мест на предприятии.</w:t>
      </w:r>
    </w:p>
    <w:p w14:paraId="6893547B" w14:textId="1CDF3F87" w:rsidR="009D2DAB" w:rsidRDefault="009D2DAB" w:rsidP="009D2DAB">
      <w:pPr>
        <w:ind w:left="0" w:right="-284" w:firstLine="0"/>
        <w:rPr>
          <w:szCs w:val="24"/>
        </w:rPr>
      </w:pPr>
      <w:r>
        <w:rPr>
          <w:szCs w:val="24"/>
        </w:rPr>
        <w:tab/>
        <w:t>Вариант 2 – «Сохранение существующей ситуации – «нулевая» альтернатива».</w:t>
      </w:r>
    </w:p>
    <w:p w14:paraId="3B94E23A" w14:textId="14C634C3" w:rsidR="009D2DAB" w:rsidRPr="00DE2BBA" w:rsidRDefault="009D2DAB" w:rsidP="009D2DAB">
      <w:pPr>
        <w:ind w:left="0" w:right="-284" w:firstLine="0"/>
        <w:rPr>
          <w:szCs w:val="24"/>
        </w:rPr>
      </w:pPr>
      <w:r>
        <w:rPr>
          <w:szCs w:val="24"/>
        </w:rPr>
        <w:tab/>
        <w:t>Отказ от проектирования участка по производству стабилизирующей волокнистой гранулированной добавки приведет к упущенной возможности выпуска востребованной продукции на внутреннем рынке.</w:t>
      </w:r>
    </w:p>
    <w:p w14:paraId="1C81EBB2" w14:textId="4BA9020D" w:rsidR="00707BB8" w:rsidRDefault="009D2DAB" w:rsidP="004944B5">
      <w:pPr>
        <w:ind w:left="0" w:right="-284"/>
        <w:rPr>
          <w:szCs w:val="24"/>
        </w:rPr>
      </w:pPr>
      <w:r>
        <w:rPr>
          <w:szCs w:val="24"/>
        </w:rPr>
        <w:t>Вариант 3 – «Реализация проектных решений на другой территории» не рассматривается, так как запланирована реконструкция существующего предприятия (ОАО «ГОМЕЛЬХИМТОРГ»).</w:t>
      </w:r>
    </w:p>
    <w:p w14:paraId="2DC09626" w14:textId="5EE3A9F5" w:rsidR="009D2DAB" w:rsidRDefault="009D2DAB" w:rsidP="004944B5">
      <w:pPr>
        <w:ind w:left="0" w:right="-284"/>
        <w:rPr>
          <w:szCs w:val="24"/>
        </w:rPr>
      </w:pPr>
      <w:r>
        <w:rPr>
          <w:szCs w:val="24"/>
        </w:rPr>
        <w:t xml:space="preserve">Таким образом, исходя из приведенной сравнительной характеристики, вариант 1 – является </w:t>
      </w:r>
      <w:r w:rsidR="00220E83">
        <w:rPr>
          <w:szCs w:val="24"/>
        </w:rPr>
        <w:t xml:space="preserve">приоритетным вариантом реализации планируемой хозяйственной деятельности. При его реализации трансформация почвы, растительного и животного мира незначительна, а по </w:t>
      </w:r>
      <w:r w:rsidR="00220E83">
        <w:rPr>
          <w:szCs w:val="24"/>
        </w:rPr>
        <w:lastRenderedPageBreak/>
        <w:t>производственно-экономическим и социальным показателям обладает положительным эффектом</w:t>
      </w:r>
    </w:p>
    <w:p w14:paraId="12524D84" w14:textId="24D544B9" w:rsidR="008E4277" w:rsidRPr="00255EC2" w:rsidRDefault="008E4277" w:rsidP="00BE0F0B">
      <w:pPr>
        <w:pStyle w:val="2"/>
        <w:numPr>
          <w:ilvl w:val="0"/>
          <w:numId w:val="5"/>
        </w:numPr>
        <w:tabs>
          <w:tab w:val="left" w:pos="993"/>
        </w:tabs>
        <w:spacing w:before="0" w:after="0"/>
        <w:ind w:right="-284"/>
        <w:rPr>
          <w:rFonts w:ascii="Times New Roman" w:hAnsi="Times New Roman"/>
          <w:i w:val="0"/>
          <w:spacing w:val="2"/>
          <w:szCs w:val="24"/>
        </w:rPr>
      </w:pPr>
      <w:r w:rsidRPr="00255EC2">
        <w:rPr>
          <w:rFonts w:ascii="Times New Roman" w:hAnsi="Times New Roman"/>
          <w:i w:val="0"/>
          <w:spacing w:val="2"/>
          <w:szCs w:val="24"/>
        </w:rPr>
        <w:t>Информация по следующим разделам будет приведена в отчете об ОВОС:</w:t>
      </w:r>
    </w:p>
    <w:p w14:paraId="7A748AD4" w14:textId="2A638266" w:rsidR="008E4277" w:rsidRDefault="00764467" w:rsidP="008E4277">
      <w:pPr>
        <w:ind w:left="0" w:right="-284"/>
        <w:rPr>
          <w:szCs w:val="24"/>
        </w:rPr>
      </w:pPr>
      <w:r w:rsidRPr="00255EC2">
        <w:rPr>
          <w:szCs w:val="24"/>
        </w:rPr>
        <w:t>«</w:t>
      </w:r>
      <w:r w:rsidR="008E4277" w:rsidRPr="00255EC2">
        <w:rPr>
          <w:szCs w:val="24"/>
        </w:rPr>
        <w:t>Существую</w:t>
      </w:r>
      <w:r w:rsidR="009A05AD">
        <w:rPr>
          <w:szCs w:val="24"/>
        </w:rPr>
        <w:t>щее состояние окружающей среды региона планируемой деятельности</w:t>
      </w:r>
      <w:r w:rsidRPr="00255EC2">
        <w:rPr>
          <w:szCs w:val="24"/>
        </w:rPr>
        <w:t>»</w:t>
      </w:r>
      <w:r w:rsidR="008E4277" w:rsidRPr="00255EC2">
        <w:rPr>
          <w:szCs w:val="24"/>
        </w:rPr>
        <w:t>;</w:t>
      </w:r>
    </w:p>
    <w:p w14:paraId="7548AB62" w14:textId="0DB24661" w:rsidR="00BE0F0B" w:rsidRDefault="00BE0F0B" w:rsidP="008E4277">
      <w:pPr>
        <w:ind w:left="0" w:right="-284"/>
        <w:rPr>
          <w:szCs w:val="24"/>
        </w:rPr>
      </w:pPr>
      <w:r>
        <w:rPr>
          <w:szCs w:val="24"/>
        </w:rPr>
        <w:t>«Предварительная оценка возможного воздействия планируемой деятельности на окружающ</w:t>
      </w:r>
      <w:r w:rsidR="009A05AD">
        <w:rPr>
          <w:szCs w:val="24"/>
        </w:rPr>
        <w:t>ую</w:t>
      </w:r>
      <w:r>
        <w:rPr>
          <w:szCs w:val="24"/>
        </w:rPr>
        <w:t xml:space="preserve"> сред</w:t>
      </w:r>
      <w:r w:rsidR="009A05AD">
        <w:rPr>
          <w:szCs w:val="24"/>
        </w:rPr>
        <w:t>у</w:t>
      </w:r>
      <w:r>
        <w:rPr>
          <w:szCs w:val="24"/>
        </w:rPr>
        <w:t>»;</w:t>
      </w:r>
    </w:p>
    <w:p w14:paraId="228769B4" w14:textId="138B127B" w:rsidR="00BE0F0B" w:rsidRDefault="00BE0F0B" w:rsidP="008E4277">
      <w:pPr>
        <w:ind w:left="0" w:right="-284"/>
        <w:rPr>
          <w:szCs w:val="24"/>
        </w:rPr>
      </w:pPr>
      <w:r>
        <w:rPr>
          <w:szCs w:val="24"/>
        </w:rPr>
        <w:t xml:space="preserve">«Предполагаемые меры по предотвращению, минимизации или компенсации </w:t>
      </w:r>
      <w:r w:rsidR="009A05AD">
        <w:rPr>
          <w:szCs w:val="24"/>
        </w:rPr>
        <w:t>неблагоприятного</w:t>
      </w:r>
      <w:r>
        <w:rPr>
          <w:szCs w:val="24"/>
        </w:rPr>
        <w:t xml:space="preserve"> воздействия</w:t>
      </w:r>
      <w:r w:rsidR="009A05AD">
        <w:rPr>
          <w:szCs w:val="24"/>
        </w:rPr>
        <w:t xml:space="preserve"> объекта планируемой деятельности</w:t>
      </w:r>
      <w:r>
        <w:rPr>
          <w:szCs w:val="24"/>
        </w:rPr>
        <w:t xml:space="preserve"> на окружающую среду»;</w:t>
      </w:r>
    </w:p>
    <w:p w14:paraId="759A9201" w14:textId="7ABCCE3F" w:rsidR="00BE0F0B" w:rsidRPr="00255EC2" w:rsidRDefault="00BE0F0B" w:rsidP="008E4277">
      <w:pPr>
        <w:ind w:left="0" w:right="-284"/>
        <w:rPr>
          <w:szCs w:val="24"/>
        </w:rPr>
      </w:pPr>
      <w:r>
        <w:rPr>
          <w:szCs w:val="24"/>
        </w:rPr>
        <w:t>«Предложения по программе</w:t>
      </w:r>
      <w:r w:rsidR="009A05AD">
        <w:rPr>
          <w:szCs w:val="24"/>
        </w:rPr>
        <w:t xml:space="preserve"> </w:t>
      </w:r>
      <w:proofErr w:type="spellStart"/>
      <w:r w:rsidR="009A05AD">
        <w:rPr>
          <w:szCs w:val="24"/>
        </w:rPr>
        <w:t>послепроектного</w:t>
      </w:r>
      <w:proofErr w:type="spellEnd"/>
      <w:r w:rsidR="009A05AD">
        <w:rPr>
          <w:szCs w:val="24"/>
        </w:rPr>
        <w:t xml:space="preserve"> анализа</w:t>
      </w:r>
      <w:r>
        <w:rPr>
          <w:szCs w:val="24"/>
        </w:rPr>
        <w:t xml:space="preserve"> </w:t>
      </w:r>
      <w:r w:rsidR="009A05AD">
        <w:rPr>
          <w:szCs w:val="24"/>
        </w:rPr>
        <w:t>(</w:t>
      </w:r>
      <w:r>
        <w:rPr>
          <w:szCs w:val="24"/>
        </w:rPr>
        <w:t>локального мониторинга</w:t>
      </w:r>
      <w:r w:rsidR="009A05AD">
        <w:rPr>
          <w:szCs w:val="24"/>
        </w:rPr>
        <w:t>)</w:t>
      </w:r>
      <w:r>
        <w:rPr>
          <w:szCs w:val="24"/>
        </w:rPr>
        <w:t xml:space="preserve"> окружающей среды и необходимости проведения </w:t>
      </w:r>
      <w:proofErr w:type="spellStart"/>
      <w:r>
        <w:rPr>
          <w:szCs w:val="24"/>
        </w:rPr>
        <w:t>послепроектного</w:t>
      </w:r>
      <w:proofErr w:type="spellEnd"/>
      <w:r>
        <w:rPr>
          <w:szCs w:val="24"/>
        </w:rPr>
        <w:t xml:space="preserve"> анализа».</w:t>
      </w:r>
    </w:p>
    <w:sectPr w:rsidR="00BE0F0B" w:rsidRPr="00255EC2" w:rsidSect="00B1628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orinna Ligh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E1C3B"/>
    <w:multiLevelType w:val="hybridMultilevel"/>
    <w:tmpl w:val="7358806C"/>
    <w:lvl w:ilvl="0" w:tplc="F5D4748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E278BF"/>
    <w:multiLevelType w:val="hybridMultilevel"/>
    <w:tmpl w:val="0EF4268E"/>
    <w:lvl w:ilvl="0" w:tplc="099CF7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B9151F"/>
    <w:multiLevelType w:val="hybridMultilevel"/>
    <w:tmpl w:val="34B2163E"/>
    <w:lvl w:ilvl="0" w:tplc="114E498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34A7B62"/>
    <w:multiLevelType w:val="hybridMultilevel"/>
    <w:tmpl w:val="5540FB10"/>
    <w:lvl w:ilvl="0" w:tplc="25F0B514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5625C65"/>
    <w:multiLevelType w:val="hybridMultilevel"/>
    <w:tmpl w:val="D0C6E954"/>
    <w:lvl w:ilvl="0" w:tplc="D2B616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6EA0A7A"/>
    <w:multiLevelType w:val="hybridMultilevel"/>
    <w:tmpl w:val="4D540EDE"/>
    <w:lvl w:ilvl="0" w:tplc="2E5A84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5A849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2D18E9"/>
    <w:multiLevelType w:val="hybridMultilevel"/>
    <w:tmpl w:val="46C2FB10"/>
    <w:lvl w:ilvl="0" w:tplc="CC346C3A">
      <w:start w:val="1"/>
      <w:numFmt w:val="decimal"/>
      <w:lvlText w:val="%1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277"/>
    <w:rsid w:val="0005359E"/>
    <w:rsid w:val="00070AD9"/>
    <w:rsid w:val="00071AE8"/>
    <w:rsid w:val="00091654"/>
    <w:rsid w:val="00091B12"/>
    <w:rsid w:val="000976F6"/>
    <w:rsid w:val="000A4D6C"/>
    <w:rsid w:val="000C0F92"/>
    <w:rsid w:val="000D0EAA"/>
    <w:rsid w:val="000F4526"/>
    <w:rsid w:val="001007BA"/>
    <w:rsid w:val="00115A4F"/>
    <w:rsid w:val="001201C9"/>
    <w:rsid w:val="0016329F"/>
    <w:rsid w:val="0017571C"/>
    <w:rsid w:val="00182D5E"/>
    <w:rsid w:val="001B5F3E"/>
    <w:rsid w:val="001B7889"/>
    <w:rsid w:val="001D272E"/>
    <w:rsid w:val="001F60E3"/>
    <w:rsid w:val="002009D2"/>
    <w:rsid w:val="002060A1"/>
    <w:rsid w:val="00210E8A"/>
    <w:rsid w:val="00214122"/>
    <w:rsid w:val="00220E83"/>
    <w:rsid w:val="00255EC2"/>
    <w:rsid w:val="0026230F"/>
    <w:rsid w:val="00277130"/>
    <w:rsid w:val="002A1F67"/>
    <w:rsid w:val="002C1136"/>
    <w:rsid w:val="002C33AF"/>
    <w:rsid w:val="002D1F71"/>
    <w:rsid w:val="0034015C"/>
    <w:rsid w:val="00352E5B"/>
    <w:rsid w:val="00363D3A"/>
    <w:rsid w:val="003E7640"/>
    <w:rsid w:val="003F12BC"/>
    <w:rsid w:val="004105B0"/>
    <w:rsid w:val="00437FC7"/>
    <w:rsid w:val="004465D8"/>
    <w:rsid w:val="00446B3F"/>
    <w:rsid w:val="004530FB"/>
    <w:rsid w:val="004672D4"/>
    <w:rsid w:val="00474DF5"/>
    <w:rsid w:val="004944B5"/>
    <w:rsid w:val="004B0519"/>
    <w:rsid w:val="004C7C6B"/>
    <w:rsid w:val="004F0546"/>
    <w:rsid w:val="00517A8A"/>
    <w:rsid w:val="00544FB6"/>
    <w:rsid w:val="005520D2"/>
    <w:rsid w:val="005A799E"/>
    <w:rsid w:val="005B07B3"/>
    <w:rsid w:val="005B45E0"/>
    <w:rsid w:val="005B69A9"/>
    <w:rsid w:val="005B7551"/>
    <w:rsid w:val="005B7F97"/>
    <w:rsid w:val="005D4465"/>
    <w:rsid w:val="005D7904"/>
    <w:rsid w:val="00622A06"/>
    <w:rsid w:val="00632126"/>
    <w:rsid w:val="006701C7"/>
    <w:rsid w:val="006903A0"/>
    <w:rsid w:val="006C4EA2"/>
    <w:rsid w:val="006D6C52"/>
    <w:rsid w:val="006E646C"/>
    <w:rsid w:val="006F6947"/>
    <w:rsid w:val="007030B7"/>
    <w:rsid w:val="00707BB8"/>
    <w:rsid w:val="0071644F"/>
    <w:rsid w:val="007372A1"/>
    <w:rsid w:val="0075020B"/>
    <w:rsid w:val="00764467"/>
    <w:rsid w:val="007750E0"/>
    <w:rsid w:val="007839E0"/>
    <w:rsid w:val="00794D91"/>
    <w:rsid w:val="007A7281"/>
    <w:rsid w:val="007C2453"/>
    <w:rsid w:val="008E4277"/>
    <w:rsid w:val="00914D04"/>
    <w:rsid w:val="00917113"/>
    <w:rsid w:val="00952FBE"/>
    <w:rsid w:val="009675E1"/>
    <w:rsid w:val="009A016C"/>
    <w:rsid w:val="009A05AD"/>
    <w:rsid w:val="009A78B7"/>
    <w:rsid w:val="009D2DAB"/>
    <w:rsid w:val="009D2E83"/>
    <w:rsid w:val="009F3CAA"/>
    <w:rsid w:val="00A03B91"/>
    <w:rsid w:val="00A17888"/>
    <w:rsid w:val="00A524F4"/>
    <w:rsid w:val="00A62A58"/>
    <w:rsid w:val="00A71602"/>
    <w:rsid w:val="00A72F2D"/>
    <w:rsid w:val="00A73DB1"/>
    <w:rsid w:val="00A8061D"/>
    <w:rsid w:val="00A8311D"/>
    <w:rsid w:val="00AB53D6"/>
    <w:rsid w:val="00AB628C"/>
    <w:rsid w:val="00AD02DF"/>
    <w:rsid w:val="00AD0421"/>
    <w:rsid w:val="00B16287"/>
    <w:rsid w:val="00B27B6F"/>
    <w:rsid w:val="00B34D53"/>
    <w:rsid w:val="00B36FF2"/>
    <w:rsid w:val="00B40D22"/>
    <w:rsid w:val="00B53420"/>
    <w:rsid w:val="00B712C3"/>
    <w:rsid w:val="00B71972"/>
    <w:rsid w:val="00B81B4D"/>
    <w:rsid w:val="00B93921"/>
    <w:rsid w:val="00BE0F0B"/>
    <w:rsid w:val="00BE24F0"/>
    <w:rsid w:val="00BF78EA"/>
    <w:rsid w:val="00C111F4"/>
    <w:rsid w:val="00C314AF"/>
    <w:rsid w:val="00C31771"/>
    <w:rsid w:val="00C5283F"/>
    <w:rsid w:val="00C6443B"/>
    <w:rsid w:val="00C80ADF"/>
    <w:rsid w:val="00C8393B"/>
    <w:rsid w:val="00CE1B27"/>
    <w:rsid w:val="00D159E8"/>
    <w:rsid w:val="00D258DD"/>
    <w:rsid w:val="00D45255"/>
    <w:rsid w:val="00D51C75"/>
    <w:rsid w:val="00DC0FA9"/>
    <w:rsid w:val="00DE2BBA"/>
    <w:rsid w:val="00DF0DF5"/>
    <w:rsid w:val="00E212D7"/>
    <w:rsid w:val="00E43ABC"/>
    <w:rsid w:val="00E871F7"/>
    <w:rsid w:val="00E91745"/>
    <w:rsid w:val="00EB0558"/>
    <w:rsid w:val="00EB1609"/>
    <w:rsid w:val="00EF29A2"/>
    <w:rsid w:val="00F10549"/>
    <w:rsid w:val="00F50FAD"/>
    <w:rsid w:val="00F74645"/>
    <w:rsid w:val="00FA31DF"/>
    <w:rsid w:val="00FB24F7"/>
    <w:rsid w:val="00FD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D32EF"/>
  <w15:chartTrackingRefBased/>
  <w15:docId w15:val="{F20B3142-4058-48EE-84F1-04B3B6326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277"/>
    <w:pPr>
      <w:spacing w:after="0" w:line="240" w:lineRule="auto"/>
      <w:ind w:left="284" w:right="284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aliases w:val="2 цифры,OG Heading 2,h2,1.1,H2,Titre 2 Car,Titre 2 Car1,Titre 2 Car Car,Titre 2 Car Car +...,Заголовок 2 Знак3,Заголовок 2 Знак Знак,Заголовок 2 Знак2 Знак Знак,Заголовок 2 Знак Знак1 Знак Знак,Заголовок 2 Знак1 Знак Знак Знак Знак,§1.1"/>
    <w:basedOn w:val="a"/>
    <w:next w:val="a"/>
    <w:link w:val="20"/>
    <w:qFormat/>
    <w:rsid w:val="008E4277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2 цифры Знак,OG Heading 2 Знак,h2 Знак,1.1 Знак,H2 Знак,Titre 2 Car Знак,Titre 2 Car1 Знак,Titre 2 Car Car Знак,Titre 2 Car Car +... Знак,Заголовок 2 Знак3 Знак,Заголовок 2 Знак Знак Знак,Заголовок 2 Знак2 Знак Знак Знак,§1.1 Знак"/>
    <w:basedOn w:val="a0"/>
    <w:link w:val="2"/>
    <w:rsid w:val="008E4277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Body Text"/>
    <w:aliases w:val="Знак,Знак Знак,Основной текст Знак Знак,Основной текст Знак1,Знак9 Знак,Знак9"/>
    <w:basedOn w:val="a"/>
    <w:link w:val="a4"/>
    <w:qFormat/>
    <w:rsid w:val="008E4277"/>
    <w:pPr>
      <w:spacing w:after="120"/>
      <w:ind w:left="0"/>
    </w:pPr>
    <w:rPr>
      <w:rFonts w:ascii="Korinna Light" w:hAnsi="Korinna Light"/>
    </w:rPr>
  </w:style>
  <w:style w:type="character" w:customStyle="1" w:styleId="a4">
    <w:name w:val="Основной текст Знак"/>
    <w:aliases w:val="Знак Знак1,Знак Знак Знак,Основной текст Знак Знак Знак,Основной текст Знак1 Знак,Знак9 Знак Знак,Знак9 Знак1"/>
    <w:basedOn w:val="a0"/>
    <w:link w:val="a3"/>
    <w:rsid w:val="008E4277"/>
    <w:rPr>
      <w:rFonts w:ascii="Korinna Light" w:eastAsia="Times New Roman" w:hAnsi="Korinna Light" w:cs="Times New Roman"/>
      <w:sz w:val="24"/>
      <w:szCs w:val="20"/>
      <w:lang w:eastAsia="ru-RU"/>
    </w:rPr>
  </w:style>
  <w:style w:type="paragraph" w:customStyle="1" w:styleId="a5">
    <w:name w:val="Пункт договора"/>
    <w:basedOn w:val="a"/>
    <w:uiPriority w:val="99"/>
    <w:rsid w:val="00C111F4"/>
    <w:pPr>
      <w:widowControl w:val="0"/>
      <w:tabs>
        <w:tab w:val="num" w:pos="705"/>
      </w:tabs>
      <w:ind w:left="705" w:right="0" w:hanging="705"/>
    </w:pPr>
    <w:rPr>
      <w:rFonts w:ascii="Arial" w:hAnsi="Arial"/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1D272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272E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097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A7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3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Рабчевский Андрей Александрович</dc:creator>
  <cp:keywords/>
  <dc:description/>
  <cp:lastModifiedBy>Илья Позняков</cp:lastModifiedBy>
  <cp:revision>30</cp:revision>
  <cp:lastPrinted>2023-08-01T13:43:00Z</cp:lastPrinted>
  <dcterms:created xsi:type="dcterms:W3CDTF">2023-07-04T12:30:00Z</dcterms:created>
  <dcterms:modified xsi:type="dcterms:W3CDTF">2023-12-22T08:19:00Z</dcterms:modified>
</cp:coreProperties>
</file>