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DD" w:rsidRDefault="009F56A3" w:rsidP="00C35867">
      <w:pPr>
        <w:jc w:val="center"/>
        <w:rPr>
          <w:rFonts w:ascii="Times New Roman" w:hAnsi="Times New Roman" w:cs="Times New Roman"/>
          <w:b/>
          <w:color w:val="000000"/>
          <w:sz w:val="28"/>
          <w:lang w:val="ru-RU" w:eastAsia="ru-RU" w:bidi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Предварительное информирование граждан и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 о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планируемой хозяйственной деятельности: </w:t>
      </w:r>
      <w:r w:rsidR="008814DD" w:rsidRPr="008814DD">
        <w:rPr>
          <w:rFonts w:ascii="Times New Roman" w:hAnsi="Times New Roman" w:cs="Times New Roman"/>
          <w:b/>
          <w:color w:val="000000"/>
          <w:sz w:val="28"/>
          <w:lang w:val="ru-RU" w:eastAsia="ru-RU" w:bidi="ru-RU"/>
        </w:rPr>
        <w:t>«Реконструкция части капитального строения с инвентарным номером 310/С-7983</w:t>
      </w:r>
      <w:r w:rsidR="008814DD" w:rsidRPr="008814DD">
        <w:rPr>
          <w:rFonts w:ascii="Times New Roman" w:hAnsi="Times New Roman" w:cs="Times New Roman"/>
          <w:b/>
          <w:color w:val="000000"/>
          <w:sz w:val="28"/>
          <w:lang w:val="ru-RU" w:eastAsia="ru-RU" w:bidi="ru-RU"/>
        </w:rPr>
        <w:br/>
        <w:t>(насосная ЛВЖ), расположенного по проезду Энергостроителей, 8/19 в г. Гомеле,</w:t>
      </w:r>
      <w:r w:rsidR="008814DD" w:rsidRPr="008814DD">
        <w:rPr>
          <w:rFonts w:ascii="Times New Roman" w:hAnsi="Times New Roman" w:cs="Times New Roman"/>
          <w:b/>
          <w:color w:val="000000"/>
          <w:sz w:val="28"/>
          <w:lang w:val="ru-RU" w:eastAsia="ru-RU" w:bidi="ru-RU"/>
        </w:rPr>
        <w:br/>
        <w:t>для размещения участка по производству удобрений»</w:t>
      </w:r>
    </w:p>
    <w:p w:rsidR="009F56A3" w:rsidRPr="00D83BBB" w:rsidRDefault="009F56A3" w:rsidP="00C358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График работ по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проведению ОВОС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973"/>
      </w:tblGrid>
      <w:tr w:rsidR="009F56A3" w:rsidRPr="00D83BBB" w:rsidTr="00035C0E">
        <w:trPr>
          <w:trHeight w:val="599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973" w:type="dxa"/>
            <w:vAlign w:val="center"/>
          </w:tcPr>
          <w:p w:rsidR="009F56A3" w:rsidRPr="00D83BBB" w:rsidRDefault="009F56A3" w:rsidP="001A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9F56A3" w:rsidRPr="00D83BBB" w:rsidTr="00035C0E">
        <w:trPr>
          <w:trHeight w:val="345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программы проведения ОВОС</w:t>
            </w:r>
          </w:p>
        </w:tc>
        <w:tc>
          <w:tcPr>
            <w:tcW w:w="2973" w:type="dxa"/>
            <w:vAlign w:val="center"/>
          </w:tcPr>
          <w:p w:rsidR="009F56A3" w:rsidRPr="00B23FE6" w:rsidRDefault="00B23FE6" w:rsidP="00B23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FE6">
              <w:rPr>
                <w:rFonts w:ascii="Times New Roman" w:hAnsi="Times New Roman" w:cs="Times New Roman"/>
                <w:lang w:val="ru-RU"/>
              </w:rPr>
              <w:t>А</w:t>
            </w:r>
            <w:r w:rsidR="001A507D" w:rsidRPr="00B23FE6">
              <w:rPr>
                <w:rFonts w:ascii="Times New Roman" w:hAnsi="Times New Roman" w:cs="Times New Roman"/>
                <w:lang w:val="ru-RU"/>
              </w:rPr>
              <w:t xml:space="preserve">вгуст </w:t>
            </w:r>
            <w:r w:rsidRPr="00B23FE6"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</w:tr>
      <w:tr w:rsidR="009F56A3" w:rsidRPr="00F705DB" w:rsidTr="00035C0E">
        <w:trPr>
          <w:trHeight w:val="345"/>
        </w:trPr>
        <w:tc>
          <w:tcPr>
            <w:tcW w:w="7200" w:type="dxa"/>
            <w:vAlign w:val="center"/>
          </w:tcPr>
          <w:p w:rsidR="009F56A3" w:rsidRPr="00D83BBB" w:rsidRDefault="00B23FE6" w:rsidP="00B2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9F56A3"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предварительного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973" w:type="dxa"/>
            <w:vAlign w:val="center"/>
          </w:tcPr>
          <w:p w:rsidR="009F56A3" w:rsidRPr="008814DD" w:rsidRDefault="00B23FE6" w:rsidP="00035C0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23FE6">
              <w:rPr>
                <w:rFonts w:ascii="Times New Roman" w:hAnsi="Times New Roman" w:cs="Times New Roman"/>
                <w:lang w:val="ru-RU"/>
              </w:rPr>
              <w:t>Октябрь-</w:t>
            </w:r>
            <w:r w:rsidR="00C35867" w:rsidRPr="00B23FE6">
              <w:rPr>
                <w:rFonts w:ascii="Times New Roman" w:hAnsi="Times New Roman" w:cs="Times New Roman"/>
                <w:lang w:val="ru-RU"/>
              </w:rPr>
              <w:t>Ноябрь</w:t>
            </w:r>
            <w:r w:rsidRPr="00B23FE6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</w:tc>
      </w:tr>
      <w:tr w:rsidR="009F56A3" w:rsidRPr="00D83BBB" w:rsidTr="00035C0E">
        <w:trPr>
          <w:trHeight w:val="346"/>
        </w:trPr>
        <w:tc>
          <w:tcPr>
            <w:tcW w:w="7200" w:type="dxa"/>
            <w:vAlign w:val="center"/>
          </w:tcPr>
          <w:p w:rsidR="009F56A3" w:rsidRPr="00D83BBB" w:rsidRDefault="00B23FE6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отчета </w:t>
            </w:r>
            <w:r w:rsidR="00896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ОВОС</w:t>
            </w:r>
          </w:p>
        </w:tc>
        <w:tc>
          <w:tcPr>
            <w:tcW w:w="2973" w:type="dxa"/>
            <w:vAlign w:val="center"/>
          </w:tcPr>
          <w:p w:rsidR="009F56A3" w:rsidRPr="008814DD" w:rsidRDefault="00B23FE6" w:rsidP="00035C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23FE6">
              <w:rPr>
                <w:rFonts w:ascii="Times New Roman" w:hAnsi="Times New Roman" w:cs="Times New Roman"/>
                <w:lang w:val="ru-RU"/>
              </w:rPr>
              <w:t>Август-Октябрь 2022</w:t>
            </w:r>
            <w:r w:rsidR="009F56A3" w:rsidRPr="00B23FE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F56A3" w:rsidRPr="00F705DB" w:rsidTr="00035C0E">
        <w:trPr>
          <w:trHeight w:val="368"/>
        </w:trPr>
        <w:tc>
          <w:tcPr>
            <w:tcW w:w="7200" w:type="dxa"/>
            <w:vAlign w:val="center"/>
          </w:tcPr>
          <w:p w:rsidR="009F56A3" w:rsidRPr="00D83BBB" w:rsidRDefault="00B23FE6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общественных обсуждений на территории РБ</w:t>
            </w:r>
          </w:p>
        </w:tc>
        <w:tc>
          <w:tcPr>
            <w:tcW w:w="2973" w:type="dxa"/>
            <w:vAlign w:val="center"/>
          </w:tcPr>
          <w:p w:rsidR="009F56A3" w:rsidRPr="00B23FE6" w:rsidRDefault="00B23FE6" w:rsidP="006353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FE6">
              <w:rPr>
                <w:rFonts w:ascii="Times New Roman" w:hAnsi="Times New Roman" w:cs="Times New Roman"/>
                <w:lang w:val="ru-RU"/>
              </w:rPr>
              <w:t>Октябрь</w:t>
            </w:r>
            <w:r w:rsidR="00896C2D">
              <w:rPr>
                <w:rFonts w:ascii="Times New Roman" w:hAnsi="Times New Roman" w:cs="Times New Roman"/>
                <w:lang w:val="ru-RU"/>
              </w:rPr>
              <w:t xml:space="preserve"> - Д</w:t>
            </w:r>
            <w:r w:rsidR="006353E4" w:rsidRPr="00B23FE6">
              <w:rPr>
                <w:rFonts w:ascii="Times New Roman" w:hAnsi="Times New Roman" w:cs="Times New Roman"/>
                <w:lang w:val="ru-RU"/>
              </w:rPr>
              <w:t>екабрь</w:t>
            </w:r>
            <w:r w:rsidRPr="00B23FE6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  <w:p w:rsidR="009F56A3" w:rsidRPr="008814DD" w:rsidRDefault="009F56A3" w:rsidP="00035C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F56A3" w:rsidRPr="008814DD" w:rsidTr="00035C0E">
        <w:trPr>
          <w:trHeight w:val="163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собран</w:t>
            </w:r>
            <w:r w:rsidR="005C6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по обсуждению отчёта об ОВОС</w:t>
            </w:r>
          </w:p>
        </w:tc>
        <w:tc>
          <w:tcPr>
            <w:tcW w:w="2973" w:type="dxa"/>
            <w:vAlign w:val="center"/>
          </w:tcPr>
          <w:p w:rsidR="009F56A3" w:rsidRPr="008814DD" w:rsidRDefault="005C6846" w:rsidP="005C68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C6846">
              <w:rPr>
                <w:rFonts w:ascii="Times New Roman" w:hAnsi="Times New Roman" w:cs="Times New Roman"/>
                <w:lang w:val="ru-RU"/>
              </w:rPr>
              <w:t>Октябрь-Ноябрь 2022</w:t>
            </w:r>
          </w:p>
        </w:tc>
      </w:tr>
      <w:tr w:rsidR="009F56A3" w:rsidRPr="008814DD" w:rsidTr="00035C0E">
        <w:trPr>
          <w:trHeight w:val="333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Доработка отчета об ОВОС по замечаниям </w:t>
            </w:r>
            <w:r w:rsidR="005C6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общественности</w:t>
            </w:r>
          </w:p>
        </w:tc>
        <w:tc>
          <w:tcPr>
            <w:tcW w:w="2973" w:type="dxa"/>
            <w:vAlign w:val="center"/>
          </w:tcPr>
          <w:p w:rsidR="009F56A3" w:rsidRPr="008814DD" w:rsidRDefault="005C6846" w:rsidP="005C68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C6846">
              <w:rPr>
                <w:rFonts w:ascii="Times New Roman" w:hAnsi="Times New Roman" w:cs="Times New Roman"/>
                <w:lang w:val="ru-RU"/>
              </w:rPr>
              <w:t>Декабрь 2022</w:t>
            </w:r>
          </w:p>
        </w:tc>
      </w:tr>
      <w:tr w:rsidR="009F56A3" w:rsidRPr="001A507D" w:rsidTr="00035C0E">
        <w:trPr>
          <w:trHeight w:val="322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973" w:type="dxa"/>
            <w:vAlign w:val="center"/>
          </w:tcPr>
          <w:p w:rsidR="009F56A3" w:rsidRPr="008814DD" w:rsidRDefault="005C6846" w:rsidP="005C68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C6846">
              <w:rPr>
                <w:rFonts w:ascii="Times New Roman" w:hAnsi="Times New Roman" w:cs="Times New Roman"/>
                <w:lang w:val="ru-RU"/>
              </w:rPr>
              <w:t>Декабрь</w:t>
            </w:r>
            <w:r w:rsidR="001A507D" w:rsidRPr="005C6846">
              <w:rPr>
                <w:rFonts w:ascii="Times New Roman" w:hAnsi="Times New Roman" w:cs="Times New Roman"/>
                <w:lang w:val="ru-RU"/>
              </w:rPr>
              <w:t xml:space="preserve"> 202</w:t>
            </w:r>
            <w:r w:rsidR="00C35867" w:rsidRPr="005C6846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F56A3" w:rsidRPr="00D83BBB" w:rsidTr="00035C0E">
        <w:trPr>
          <w:trHeight w:val="322"/>
        </w:trPr>
        <w:tc>
          <w:tcPr>
            <w:tcW w:w="7200" w:type="dxa"/>
            <w:vAlign w:val="center"/>
          </w:tcPr>
          <w:p w:rsidR="009F56A3" w:rsidRPr="00D83BBB" w:rsidRDefault="009F56A3" w:rsidP="0003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2973" w:type="dxa"/>
            <w:vAlign w:val="center"/>
          </w:tcPr>
          <w:p w:rsidR="009F56A3" w:rsidRPr="008814DD" w:rsidRDefault="005C6846" w:rsidP="005C68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6846">
              <w:rPr>
                <w:rFonts w:ascii="Times New Roman" w:hAnsi="Times New Roman" w:cs="Times New Roman"/>
                <w:lang w:val="ru-RU"/>
              </w:rPr>
              <w:t>Январь 2023</w:t>
            </w:r>
          </w:p>
        </w:tc>
      </w:tr>
    </w:tbl>
    <w:p w:rsidR="009F56A3" w:rsidRPr="007D0760" w:rsidRDefault="009F56A3" w:rsidP="007D0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b/>
          <w:sz w:val="24"/>
          <w:szCs w:val="24"/>
          <w:lang w:val="ru-RU"/>
        </w:rPr>
        <w:t>Сведения о заказчике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Основным видом деятельности ОАО «Гомельхимторг» является оптовая торговля продукцией производственно-технического назначения.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Предприятие специализируется на реализации химической продукции, резинотехнических изделий, строительных материалов, металлоконструкций, лакокрасочной продукции, автошин.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1. Полное наименование </w:t>
      </w:r>
      <w:proofErr w:type="spellStart"/>
      <w:r w:rsidRPr="007D0760">
        <w:rPr>
          <w:rFonts w:ascii="Times New Roman" w:hAnsi="Times New Roman" w:cs="Times New Roman"/>
          <w:sz w:val="24"/>
          <w:szCs w:val="24"/>
          <w:lang w:val="ru-RU"/>
        </w:rPr>
        <w:t>природопользователя</w:t>
      </w:r>
      <w:proofErr w:type="spellEnd"/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уставом – Открытое акцион</w:t>
      </w:r>
      <w:r w:rsidR="00F00814">
        <w:rPr>
          <w:rFonts w:ascii="Times New Roman" w:hAnsi="Times New Roman" w:cs="Times New Roman"/>
          <w:sz w:val="24"/>
          <w:szCs w:val="24"/>
          <w:lang w:val="ru-RU"/>
        </w:rPr>
        <w:t>ерное общество «ГОМЕЛЬХИМТОРГ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2. Наименование вышестоящей организации – </w:t>
      </w:r>
      <w:r w:rsidR="00F00814">
        <w:rPr>
          <w:rFonts w:ascii="Times New Roman" w:hAnsi="Times New Roman" w:cs="Times New Roman"/>
          <w:sz w:val="24"/>
          <w:szCs w:val="24"/>
          <w:lang w:val="ru-RU"/>
        </w:rPr>
        <w:t>Открытое акционерное общество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D0760">
        <w:rPr>
          <w:rFonts w:ascii="Times New Roman" w:hAnsi="Times New Roman" w:cs="Times New Roman"/>
          <w:sz w:val="24"/>
          <w:szCs w:val="24"/>
          <w:lang w:val="ru-RU"/>
        </w:rPr>
        <w:t>Белресурсы</w:t>
      </w:r>
      <w:proofErr w:type="spellEnd"/>
      <w:r w:rsidRPr="007D076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00814">
        <w:rPr>
          <w:rFonts w:ascii="Times New Roman" w:hAnsi="Times New Roman" w:cs="Times New Roman"/>
          <w:sz w:val="24"/>
          <w:szCs w:val="24"/>
          <w:lang w:val="ru-RU"/>
        </w:rPr>
        <w:t xml:space="preserve"> - Управляющая компания холдинг «</w:t>
      </w:r>
      <w:proofErr w:type="spellStart"/>
      <w:r w:rsidR="00F00814">
        <w:rPr>
          <w:rFonts w:ascii="Times New Roman" w:hAnsi="Times New Roman" w:cs="Times New Roman"/>
          <w:sz w:val="24"/>
          <w:szCs w:val="24"/>
          <w:lang w:val="ru-RU"/>
        </w:rPr>
        <w:t>Белресурсы</w:t>
      </w:r>
      <w:proofErr w:type="spellEnd"/>
      <w:r w:rsidR="00896C2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3. Орган управления – Собрание акционеров.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4. Форма собственности – частная.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5. Место нахождения – Республика Беларусь, </w:t>
      </w:r>
      <w:proofErr w:type="spellStart"/>
      <w:r w:rsidRPr="007D0760">
        <w:rPr>
          <w:rFonts w:ascii="Times New Roman" w:hAnsi="Times New Roman" w:cs="Times New Roman"/>
          <w:sz w:val="24"/>
          <w:szCs w:val="24"/>
          <w:lang w:val="ru-RU"/>
        </w:rPr>
        <w:t>г.Гомель</w:t>
      </w:r>
      <w:proofErr w:type="spellEnd"/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, ул. Могилевская, 20. 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6. Генеральный директор – Петровский Александр Михайлович </w:t>
      </w:r>
    </w:p>
    <w:p w:rsidR="00437982" w:rsidRPr="007D0760" w:rsidRDefault="00437982" w:rsidP="007D0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982" w:rsidRPr="007D0760" w:rsidRDefault="00437982" w:rsidP="007D076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7D0760">
        <w:rPr>
          <w:rFonts w:ascii="Times New Roman" w:hAnsi="Times New Roman" w:cs="Times New Roman"/>
          <w:b/>
          <w:sz w:val="24"/>
          <w:szCs w:val="24"/>
          <w:lang w:val="ru-RU"/>
        </w:rPr>
        <w:t>Сведения о планируемой деятельности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14DD" w:rsidRPr="007D0760" w:rsidRDefault="008814DD" w:rsidP="007D0760">
      <w:pPr>
        <w:pStyle w:val="a7"/>
        <w:shd w:val="clear" w:color="auto" w:fill="auto"/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Основной вид деятельности ОАО «Гомельхимторг» - оптовая торговля продукцией производственно-технического назначения, в том числе химической продукцией: кислота соляная, кислота серная, водорода пероксид (концентрацией до 60 %), нитрит натрия, сода каль</w:t>
      </w:r>
      <w:r w:rsidR="006B55CB" w:rsidRPr="007D0760">
        <w:rPr>
          <w:color w:val="000000"/>
          <w:sz w:val="24"/>
          <w:szCs w:val="24"/>
          <w:lang w:eastAsia="ru-RU" w:bidi="ru-RU"/>
        </w:rPr>
        <w:t>цинированная, сода каустиче</w:t>
      </w:r>
      <w:r w:rsidRPr="007D0760">
        <w:rPr>
          <w:color w:val="000000"/>
          <w:sz w:val="24"/>
          <w:szCs w:val="24"/>
          <w:lang w:eastAsia="ru-RU" w:bidi="ru-RU"/>
        </w:rPr>
        <w:t xml:space="preserve">ская, кислота фосфорная, кислота ортофосфорная, бикарбонат натрия, 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монокальцийфосфат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>, каль</w:t>
      </w:r>
      <w:r w:rsidRPr="007D0760">
        <w:rPr>
          <w:color w:val="000000"/>
          <w:sz w:val="24"/>
          <w:szCs w:val="24"/>
          <w:lang w:eastAsia="ru-RU" w:bidi="ru-RU"/>
        </w:rPr>
        <w:softHyphen/>
        <w:t>ций хлористый, кислота азотная, и другие вид</w:t>
      </w:r>
      <w:bookmarkStart w:id="0" w:name="_GoBack"/>
      <w:bookmarkEnd w:id="0"/>
      <w:r w:rsidRPr="007D0760">
        <w:rPr>
          <w:color w:val="000000"/>
          <w:sz w:val="24"/>
          <w:szCs w:val="24"/>
          <w:lang w:eastAsia="ru-RU" w:bidi="ru-RU"/>
        </w:rPr>
        <w:t>ы химической продукции.</w:t>
      </w:r>
    </w:p>
    <w:p w:rsidR="008814DD" w:rsidRPr="007D0760" w:rsidRDefault="008814DD" w:rsidP="007D0760">
      <w:pPr>
        <w:pStyle w:val="a7"/>
        <w:shd w:val="clear" w:color="auto" w:fill="auto"/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Проектом обоснования инвестиций предусматривается создание производ</w:t>
      </w:r>
      <w:r w:rsidRPr="007D0760">
        <w:rPr>
          <w:color w:val="000000"/>
          <w:sz w:val="24"/>
          <w:szCs w:val="24"/>
          <w:lang w:eastAsia="ru-RU" w:bidi="ru-RU"/>
        </w:rPr>
        <w:softHyphen/>
        <w:t xml:space="preserve">ства по </w:t>
      </w:r>
      <w:r w:rsidRPr="007D0760">
        <w:rPr>
          <w:color w:val="000000"/>
          <w:sz w:val="24"/>
          <w:szCs w:val="24"/>
          <w:lang w:eastAsia="ru-RU" w:bidi="ru-RU"/>
        </w:rPr>
        <w:lastRenderedPageBreak/>
        <w:t xml:space="preserve">выпуску сухого кристаллического 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монофосфата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 xml:space="preserve"> калия в соответствии с ТУ ВТ 400048086.026-2016 мощностью 1000 т/год и сухого кристаллического сульфата калия в соответствии с ТУ ВУ 400048086.046-2021 мощностью 400 т/год. Так же на данном производстве предусматривается выпуск жидких комплексных удобрений (далее - ЖКУ) с вводом микроэлементов (натрий, бор, медь, цинк, мар</w:t>
      </w:r>
      <w:r w:rsidRPr="007D0760">
        <w:rPr>
          <w:color w:val="000000"/>
          <w:sz w:val="24"/>
          <w:szCs w:val="24"/>
          <w:lang w:eastAsia="ru-RU" w:bidi="ru-RU"/>
        </w:rPr>
        <w:softHyphen/>
        <w:t>ганец).</w:t>
      </w:r>
    </w:p>
    <w:p w:rsidR="008814DD" w:rsidRPr="007D0760" w:rsidRDefault="008814DD" w:rsidP="007D0760">
      <w:pPr>
        <w:pStyle w:val="a7"/>
        <w:shd w:val="clear" w:color="auto" w:fill="auto"/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Участок по производству удобрений устраивается в существующей части капитального строения (насосной ЛВЖ) после его переоборудования. С северной и восточной стороны к помещению бывшей насосной ЛВЖ пристраивается навес для размещения технологического оборудования.</w:t>
      </w:r>
    </w:p>
    <w:p w:rsidR="008814DD" w:rsidRPr="007D0760" w:rsidRDefault="008814DD" w:rsidP="007D0760">
      <w:pPr>
        <w:pStyle w:val="a7"/>
        <w:shd w:val="clear" w:color="auto" w:fill="auto"/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Для производства намеченных к выпуску удобрений используются сырье</w:t>
      </w:r>
      <w:r w:rsidRPr="007D0760">
        <w:rPr>
          <w:color w:val="000000"/>
          <w:sz w:val="24"/>
          <w:szCs w:val="24"/>
          <w:lang w:eastAsia="ru-RU" w:bidi="ru-RU"/>
        </w:rPr>
        <w:softHyphen/>
        <w:t>вые компоненты: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4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поташ (калий углекислый, калия карбонат);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4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карбамид (мочевина);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4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гидрат окиси калия (гидроксид калия);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4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ортофосфорная кислота (концентрацией 85 %);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4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азотная кислота (концентрацией 57,6 %);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14"/>
        </w:tabs>
        <w:ind w:firstLine="84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серная кислота (концентрацией 92,5 %).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Выпускаемая продукция: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42"/>
        </w:tabs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 xml:space="preserve">калия 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монофосфат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 xml:space="preserve"> ТУ ВУ 400048086.026-2016;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42"/>
        </w:tabs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калия сульфат ТУ ВУ 400048086.046-2021;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42"/>
        </w:tabs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жидкие комплексные удобрения (ЖКУ) (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бесхлорные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>).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 xml:space="preserve">В качестве источников тепла используются 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теплогенераторы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>, работающие на природном газе.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Насосы и мешалки имеют привод от электродвигателей.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На производство удобрений и на подпитк</w:t>
      </w:r>
      <w:r w:rsidR="006B55CB" w:rsidRPr="007D0760">
        <w:rPr>
          <w:color w:val="000000"/>
          <w:sz w:val="24"/>
          <w:szCs w:val="24"/>
          <w:lang w:eastAsia="ru-RU" w:bidi="ru-RU"/>
        </w:rPr>
        <w:t xml:space="preserve">у </w:t>
      </w:r>
      <w:proofErr w:type="spellStart"/>
      <w:r w:rsidR="006B55CB" w:rsidRPr="007D0760">
        <w:rPr>
          <w:color w:val="000000"/>
          <w:sz w:val="24"/>
          <w:szCs w:val="24"/>
          <w:lang w:eastAsia="ru-RU" w:bidi="ru-RU"/>
        </w:rPr>
        <w:t>чиллеров</w:t>
      </w:r>
      <w:proofErr w:type="spellEnd"/>
      <w:r w:rsidR="006B55CB" w:rsidRPr="007D0760">
        <w:rPr>
          <w:color w:val="000000"/>
          <w:sz w:val="24"/>
          <w:szCs w:val="24"/>
          <w:lang w:eastAsia="ru-RU" w:bidi="ru-RU"/>
        </w:rPr>
        <w:t xml:space="preserve"> потребляется вода хо</w:t>
      </w:r>
      <w:r w:rsidRPr="007D0760">
        <w:rPr>
          <w:color w:val="000000"/>
          <w:sz w:val="24"/>
          <w:szCs w:val="24"/>
          <w:lang w:eastAsia="ru-RU" w:bidi="ru-RU"/>
        </w:rPr>
        <w:t>зяйственно-питьевая.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Таким образом, вовлекаемыми в хозяйств</w:t>
      </w:r>
      <w:r w:rsidR="006B55CB" w:rsidRPr="007D0760">
        <w:rPr>
          <w:color w:val="000000"/>
          <w:sz w:val="24"/>
          <w:szCs w:val="24"/>
          <w:lang w:eastAsia="ru-RU" w:bidi="ru-RU"/>
        </w:rPr>
        <w:t>енную деятельность объекта стро</w:t>
      </w:r>
      <w:r w:rsidRPr="007D0760">
        <w:rPr>
          <w:color w:val="000000"/>
          <w:sz w:val="24"/>
          <w:szCs w:val="24"/>
          <w:lang w:eastAsia="ru-RU" w:bidi="ru-RU"/>
        </w:rPr>
        <w:t>ительства энергоресурсами, являются:</w:t>
      </w:r>
    </w:p>
    <w:p w:rsidR="008814DD" w:rsidRPr="007D0760" w:rsidRDefault="008814DD" w:rsidP="007D0760">
      <w:pPr>
        <w:pStyle w:val="a7"/>
        <w:shd w:val="clear" w:color="auto" w:fill="auto"/>
        <w:ind w:left="1120" w:firstLine="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-электроэнергия;</w:t>
      </w:r>
    </w:p>
    <w:p w:rsidR="008814DD" w:rsidRPr="007D0760" w:rsidRDefault="008814DD" w:rsidP="007D0760">
      <w:pPr>
        <w:pStyle w:val="a7"/>
        <w:shd w:val="clear" w:color="auto" w:fill="auto"/>
        <w:ind w:left="1120" w:firstLine="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-природный газ;</w:t>
      </w:r>
    </w:p>
    <w:p w:rsidR="008814DD" w:rsidRPr="007D0760" w:rsidRDefault="008814DD" w:rsidP="007D0760">
      <w:pPr>
        <w:pStyle w:val="a7"/>
        <w:shd w:val="clear" w:color="auto" w:fill="auto"/>
        <w:ind w:left="1120" w:firstLine="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-воздух КИП;</w:t>
      </w:r>
    </w:p>
    <w:p w:rsidR="008814DD" w:rsidRPr="007D0760" w:rsidRDefault="008814DD" w:rsidP="007D0760">
      <w:pPr>
        <w:pStyle w:val="a7"/>
        <w:shd w:val="clear" w:color="auto" w:fill="auto"/>
        <w:ind w:left="1120" w:firstLine="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-вода хозяйственно-питьевая;</w:t>
      </w:r>
    </w:p>
    <w:p w:rsidR="008814DD" w:rsidRPr="007D0760" w:rsidRDefault="008814DD" w:rsidP="007D0760">
      <w:pPr>
        <w:pStyle w:val="a7"/>
        <w:shd w:val="clear" w:color="auto" w:fill="auto"/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Основные технологические операции получения ЖКУ: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прием сырьевых компонентов;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загрузка сырьевых компонентов в реактор;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выгрузка в емкость готового продукта;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фасовка готового продукта;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выдача на склад.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 xml:space="preserve">Основные технологические операции получения 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монофосфата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 xml:space="preserve"> калия и сульфата калия: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загрузка сырьевых компонентов в реактор;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фильтрование суспензии и выгрузка влажного осадка в бункер;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27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сушка готового продукта и выгрузка в бункер сухого продукта;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2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фасовка готового продукта;</w:t>
      </w:r>
    </w:p>
    <w:p w:rsidR="008814DD" w:rsidRPr="007D0760" w:rsidRDefault="008814DD" w:rsidP="007D0760">
      <w:pPr>
        <w:pStyle w:val="a7"/>
        <w:numPr>
          <w:ilvl w:val="0"/>
          <w:numId w:val="1"/>
        </w:numPr>
        <w:shd w:val="clear" w:color="auto" w:fill="auto"/>
        <w:tabs>
          <w:tab w:val="left" w:pos="1132"/>
        </w:tabs>
        <w:ind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выдача на склад.</w:t>
      </w:r>
    </w:p>
    <w:p w:rsidR="008814DD" w:rsidRPr="007D0760" w:rsidRDefault="008814DD" w:rsidP="007D0760">
      <w:pPr>
        <w:pStyle w:val="a7"/>
        <w:shd w:val="clear" w:color="auto" w:fill="auto"/>
        <w:ind w:firstLine="88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Режим работы производства - односменный, 12 часов в смену, 4128 часов в год.</w:t>
      </w:r>
    </w:p>
    <w:p w:rsidR="008814DD" w:rsidRPr="007D0760" w:rsidRDefault="008814DD" w:rsidP="007D0760">
      <w:pPr>
        <w:pStyle w:val="a7"/>
        <w:shd w:val="clear" w:color="auto" w:fill="auto"/>
        <w:spacing w:after="100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lastRenderedPageBreak/>
        <w:t>В качестве альтернативных вариантов р</w:t>
      </w:r>
      <w:r w:rsidR="006B55CB" w:rsidRPr="007D0760">
        <w:rPr>
          <w:color w:val="000000"/>
          <w:sz w:val="24"/>
          <w:szCs w:val="24"/>
          <w:lang w:eastAsia="ru-RU" w:bidi="ru-RU"/>
        </w:rPr>
        <w:t>еализации планируемой деятельно</w:t>
      </w:r>
      <w:r w:rsidRPr="007D0760">
        <w:rPr>
          <w:color w:val="000000"/>
          <w:sz w:val="24"/>
          <w:szCs w:val="24"/>
          <w:lang w:eastAsia="ru-RU" w:bidi="ru-RU"/>
        </w:rPr>
        <w:t>сти по объекту рассмотрены два варианта.</w:t>
      </w:r>
    </w:p>
    <w:p w:rsidR="008814DD" w:rsidRPr="007D0760" w:rsidRDefault="008814DD" w:rsidP="007D0760">
      <w:pPr>
        <w:pStyle w:val="a7"/>
        <w:shd w:val="clear" w:color="auto" w:fill="auto"/>
        <w:spacing w:after="100"/>
        <w:ind w:left="180" w:firstLine="860"/>
        <w:jc w:val="both"/>
        <w:rPr>
          <w:sz w:val="24"/>
          <w:szCs w:val="24"/>
        </w:rPr>
      </w:pPr>
      <w:r w:rsidRPr="007D0760">
        <w:rPr>
          <w:i/>
          <w:iCs/>
          <w:color w:val="000000"/>
          <w:sz w:val="24"/>
          <w:szCs w:val="24"/>
          <w:lang w:eastAsia="ru-RU" w:bidi="ru-RU"/>
        </w:rPr>
        <w:t>Вариант 1 — Реконструкция части капитального строения с инвентарным номером 310/С-7983 (насосная ЛВЖ), расположе</w:t>
      </w:r>
      <w:r w:rsidR="006B55CB" w:rsidRPr="007D0760">
        <w:rPr>
          <w:i/>
          <w:iCs/>
          <w:color w:val="000000"/>
          <w:sz w:val="24"/>
          <w:szCs w:val="24"/>
          <w:lang w:eastAsia="ru-RU" w:bidi="ru-RU"/>
        </w:rPr>
        <w:t xml:space="preserve">нного по проезду </w:t>
      </w:r>
      <w:proofErr w:type="spellStart"/>
      <w:r w:rsidR="006B55CB" w:rsidRPr="007D0760">
        <w:rPr>
          <w:i/>
          <w:iCs/>
          <w:color w:val="000000"/>
          <w:sz w:val="24"/>
          <w:szCs w:val="24"/>
          <w:lang w:eastAsia="ru-RU" w:bidi="ru-RU"/>
        </w:rPr>
        <w:t>Энерго</w:t>
      </w:r>
      <w:proofErr w:type="spellEnd"/>
      <w:r w:rsidR="006B55CB" w:rsidRPr="007D0760">
        <w:rPr>
          <w:i/>
          <w:iCs/>
          <w:color w:val="000000"/>
          <w:sz w:val="24"/>
          <w:szCs w:val="24"/>
          <w:lang w:eastAsia="ru-RU" w:bidi="ru-RU"/>
        </w:rPr>
        <w:t xml:space="preserve"> строите</w:t>
      </w:r>
      <w:r w:rsidRPr="007D0760">
        <w:rPr>
          <w:i/>
          <w:iCs/>
          <w:color w:val="000000"/>
          <w:sz w:val="24"/>
          <w:szCs w:val="24"/>
          <w:lang w:eastAsia="ru-RU" w:bidi="ru-RU"/>
        </w:rPr>
        <w:t>лей, 8/19 в г. Гомеле, для размещения участка по производству удобрений</w:t>
      </w:r>
    </w:p>
    <w:p w:rsidR="008814DD" w:rsidRPr="007D0760" w:rsidRDefault="008814DD" w:rsidP="007D0760">
      <w:pPr>
        <w:pStyle w:val="a7"/>
        <w:shd w:val="clear" w:color="auto" w:fill="auto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Производственная площадка № 1 ОАО «</w:t>
      </w:r>
      <w:r w:rsidR="006B55CB" w:rsidRPr="007D0760">
        <w:rPr>
          <w:color w:val="000000"/>
          <w:sz w:val="24"/>
          <w:szCs w:val="24"/>
          <w:lang w:eastAsia="ru-RU" w:bidi="ru-RU"/>
        </w:rPr>
        <w:t>Гомельхимторг» расположена в за</w:t>
      </w:r>
      <w:r w:rsidRPr="007D0760">
        <w:rPr>
          <w:color w:val="000000"/>
          <w:sz w:val="24"/>
          <w:szCs w:val="24"/>
          <w:lang w:eastAsia="ru-RU" w:bidi="ru-RU"/>
        </w:rPr>
        <w:t>падной промышленной зоне г. Гомель между промышленной площадкой ОАО «Гомельский химический завод» и филиа</w:t>
      </w:r>
      <w:r w:rsidR="006B55CB" w:rsidRPr="007D0760">
        <w:rPr>
          <w:color w:val="000000"/>
          <w:sz w:val="24"/>
          <w:szCs w:val="24"/>
          <w:lang w:eastAsia="ru-RU" w:bidi="ru-RU"/>
        </w:rPr>
        <w:t>лом «Гомельская ТЭЦ-2» РУП «</w:t>
      </w:r>
      <w:proofErr w:type="spellStart"/>
      <w:r w:rsidR="006B55CB" w:rsidRPr="007D0760">
        <w:rPr>
          <w:color w:val="000000"/>
          <w:sz w:val="24"/>
          <w:szCs w:val="24"/>
          <w:lang w:eastAsia="ru-RU" w:bidi="ru-RU"/>
        </w:rPr>
        <w:t>Го</w:t>
      </w:r>
      <w:r w:rsidRPr="007D0760">
        <w:rPr>
          <w:color w:val="000000"/>
          <w:sz w:val="24"/>
          <w:szCs w:val="24"/>
          <w:lang w:eastAsia="ru-RU" w:bidi="ru-RU"/>
        </w:rPr>
        <w:t>мельэнерго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>», вдоль объездной автодороги. При</w:t>
      </w:r>
      <w:r w:rsidR="006B55CB" w:rsidRPr="007D0760">
        <w:rPr>
          <w:color w:val="000000"/>
          <w:sz w:val="24"/>
          <w:szCs w:val="24"/>
          <w:lang w:eastAsia="ru-RU" w:bidi="ru-RU"/>
        </w:rPr>
        <w:t>легающая территория характеризу</w:t>
      </w:r>
      <w:r w:rsidRPr="007D0760">
        <w:rPr>
          <w:color w:val="000000"/>
          <w:sz w:val="24"/>
          <w:szCs w:val="24"/>
          <w:lang w:eastAsia="ru-RU" w:bidi="ru-RU"/>
        </w:rPr>
        <w:t>ется наличием промышленных площадок других предприятий и пахотных земель.</w:t>
      </w:r>
    </w:p>
    <w:p w:rsidR="008814DD" w:rsidRPr="007D0760" w:rsidRDefault="008814DD" w:rsidP="007D0760">
      <w:pPr>
        <w:pStyle w:val="a7"/>
        <w:shd w:val="clear" w:color="auto" w:fill="auto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Реконструкция части капитального строения с инвентарным номером 310/С-7983 (насосная ЛВЖ), расположенного по проезд</w:t>
      </w:r>
      <w:r w:rsidR="006B55CB" w:rsidRPr="007D0760">
        <w:rPr>
          <w:color w:val="000000"/>
          <w:sz w:val="24"/>
          <w:szCs w:val="24"/>
          <w:lang w:eastAsia="ru-RU" w:bidi="ru-RU"/>
        </w:rPr>
        <w:t>у Энергостроителей, 8/19 в г. Г</w:t>
      </w:r>
      <w:r w:rsidRPr="007D0760">
        <w:rPr>
          <w:color w:val="000000"/>
          <w:sz w:val="24"/>
          <w:szCs w:val="24"/>
          <w:lang w:eastAsia="ru-RU" w:bidi="ru-RU"/>
        </w:rPr>
        <w:t>омеле, для размещения участка по производству удобрений, предусматривается на собственной территории производствен</w:t>
      </w:r>
      <w:r w:rsidR="006B55CB" w:rsidRPr="007D0760">
        <w:rPr>
          <w:color w:val="000000"/>
          <w:sz w:val="24"/>
          <w:szCs w:val="24"/>
          <w:lang w:eastAsia="ru-RU" w:bidi="ru-RU"/>
        </w:rPr>
        <w:t>ной площадки № 1 ОАО «Гомельхим</w:t>
      </w:r>
      <w:r w:rsidRPr="007D0760">
        <w:rPr>
          <w:color w:val="000000"/>
          <w:sz w:val="24"/>
          <w:szCs w:val="24"/>
          <w:lang w:eastAsia="ru-RU" w:bidi="ru-RU"/>
        </w:rPr>
        <w:t xml:space="preserve">торг». Расстояние от площадки проектирования до границы земельных участков </w:t>
      </w:r>
      <w:proofErr w:type="spellStart"/>
      <w:r w:rsidRPr="007D0760">
        <w:rPr>
          <w:color w:val="000000"/>
          <w:sz w:val="24"/>
          <w:szCs w:val="24"/>
          <w:lang w:eastAsia="ru-RU" w:bidi="ru-RU"/>
        </w:rPr>
        <w:t>н.п</w:t>
      </w:r>
      <w:proofErr w:type="spellEnd"/>
      <w:r w:rsidRPr="007D0760">
        <w:rPr>
          <w:color w:val="000000"/>
          <w:sz w:val="24"/>
          <w:szCs w:val="24"/>
          <w:lang w:eastAsia="ru-RU" w:bidi="ru-RU"/>
        </w:rPr>
        <w:t>. Восток составляет 650 м.</w:t>
      </w:r>
    </w:p>
    <w:p w:rsidR="008814DD" w:rsidRPr="007D0760" w:rsidRDefault="008814DD" w:rsidP="007D0760">
      <w:pPr>
        <w:pStyle w:val="a7"/>
        <w:shd w:val="clear" w:color="auto" w:fill="auto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Площадка для размещения проектируемых сооружений выбрана с учетом сложившейся застройки, наличия свободной территории, обеспечения сырьем, вспомогательными материалами, кратчайших тех</w:t>
      </w:r>
      <w:r w:rsidR="006B55CB" w:rsidRPr="007D0760">
        <w:rPr>
          <w:color w:val="000000"/>
          <w:sz w:val="24"/>
          <w:szCs w:val="24"/>
          <w:lang w:eastAsia="ru-RU" w:bidi="ru-RU"/>
        </w:rPr>
        <w:t>нологических связей, наличия ря</w:t>
      </w:r>
      <w:r w:rsidRPr="007D0760">
        <w:rPr>
          <w:color w:val="000000"/>
          <w:sz w:val="24"/>
          <w:szCs w:val="24"/>
          <w:lang w:eastAsia="ru-RU" w:bidi="ru-RU"/>
        </w:rPr>
        <w:t>дом существующих инженерных коммуникаций (сетей, эстакад).</w:t>
      </w:r>
    </w:p>
    <w:p w:rsidR="008814DD" w:rsidRPr="007D0760" w:rsidRDefault="008814DD" w:rsidP="007D0760">
      <w:pPr>
        <w:pStyle w:val="a7"/>
        <w:shd w:val="clear" w:color="auto" w:fill="auto"/>
        <w:spacing w:after="100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С точки зрения удовлетворения заявленных потребностей производства в ресурсах и использования существующей инфраструктуры, выбранную террито</w:t>
      </w:r>
      <w:r w:rsidRPr="007D0760">
        <w:rPr>
          <w:color w:val="000000"/>
          <w:sz w:val="24"/>
          <w:szCs w:val="24"/>
          <w:lang w:eastAsia="ru-RU" w:bidi="ru-RU"/>
        </w:rPr>
        <w:softHyphen/>
        <w:t>рию можно считать оптимальной для размещения планируемой деятельности.</w:t>
      </w:r>
    </w:p>
    <w:p w:rsidR="008814DD" w:rsidRPr="007D0760" w:rsidRDefault="008814DD" w:rsidP="007D0760">
      <w:pPr>
        <w:pStyle w:val="a7"/>
        <w:shd w:val="clear" w:color="auto" w:fill="auto"/>
        <w:ind w:left="1040" w:firstLine="0"/>
        <w:jc w:val="both"/>
        <w:rPr>
          <w:sz w:val="24"/>
          <w:szCs w:val="24"/>
        </w:rPr>
      </w:pPr>
      <w:r w:rsidRPr="007D0760">
        <w:rPr>
          <w:i/>
          <w:iCs/>
          <w:color w:val="000000"/>
          <w:sz w:val="24"/>
          <w:szCs w:val="24"/>
          <w:lang w:eastAsia="ru-RU" w:bidi="ru-RU"/>
        </w:rPr>
        <w:t>Вариант «нулевая альтернатива» - отказ от строительства объекта</w:t>
      </w:r>
    </w:p>
    <w:p w:rsidR="008814DD" w:rsidRPr="007D0760" w:rsidRDefault="008814DD" w:rsidP="007D0760">
      <w:pPr>
        <w:pStyle w:val="a7"/>
        <w:shd w:val="clear" w:color="auto" w:fill="auto"/>
        <w:spacing w:after="240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Отказ от реализации проекта означает отсутствие дополнительного</w:t>
      </w:r>
      <w:r w:rsidR="006B55CB" w:rsidRPr="007D0760">
        <w:rPr>
          <w:color w:val="000000"/>
          <w:sz w:val="24"/>
          <w:szCs w:val="24"/>
          <w:lang w:eastAsia="ru-RU" w:bidi="ru-RU"/>
        </w:rPr>
        <w:t xml:space="preserve"> воздей</w:t>
      </w:r>
      <w:r w:rsidRPr="007D0760">
        <w:rPr>
          <w:color w:val="000000"/>
          <w:sz w:val="24"/>
          <w:szCs w:val="24"/>
          <w:lang w:eastAsia="ru-RU" w:bidi="ru-RU"/>
        </w:rPr>
        <w:t>ствия на компоненты окружающей среды, однако способствует упущению соци</w:t>
      </w:r>
      <w:r w:rsidRPr="007D0760">
        <w:rPr>
          <w:color w:val="000000"/>
          <w:sz w:val="24"/>
          <w:szCs w:val="24"/>
          <w:lang w:eastAsia="ru-RU" w:bidi="ru-RU"/>
        </w:rPr>
        <w:softHyphen/>
        <w:t>ально-экономической выгоды для развития предприятия и региона в целом.</w:t>
      </w:r>
    </w:p>
    <w:p w:rsidR="008814DD" w:rsidRPr="007D0760" w:rsidRDefault="008814DD" w:rsidP="007D0760">
      <w:pPr>
        <w:pStyle w:val="Heading60"/>
        <w:keepNext/>
        <w:keepLines/>
        <w:shd w:val="clear" w:color="auto" w:fill="auto"/>
        <w:spacing w:after="0"/>
        <w:ind w:left="180"/>
        <w:jc w:val="both"/>
        <w:rPr>
          <w:sz w:val="24"/>
          <w:szCs w:val="24"/>
        </w:rPr>
      </w:pPr>
      <w:bookmarkStart w:id="1" w:name="bookmark36"/>
      <w:bookmarkStart w:id="2" w:name="bookmark37"/>
      <w:r w:rsidRPr="007D0760">
        <w:rPr>
          <w:color w:val="000000"/>
          <w:sz w:val="24"/>
          <w:szCs w:val="24"/>
          <w:lang w:eastAsia="ru-RU" w:bidi="ru-RU"/>
        </w:rPr>
        <w:t>Краткая оценка существующего состояния окружающей среды, социально-экономических условий</w:t>
      </w:r>
      <w:bookmarkEnd w:id="1"/>
      <w:bookmarkEnd w:id="2"/>
    </w:p>
    <w:p w:rsidR="008814DD" w:rsidRPr="007D0760" w:rsidRDefault="008814DD" w:rsidP="007D0760">
      <w:pPr>
        <w:pStyle w:val="a7"/>
        <w:shd w:val="clear" w:color="auto" w:fill="auto"/>
        <w:spacing w:after="100"/>
        <w:ind w:left="1040" w:firstLine="0"/>
        <w:jc w:val="both"/>
        <w:rPr>
          <w:sz w:val="24"/>
          <w:szCs w:val="24"/>
        </w:rPr>
      </w:pPr>
      <w:r w:rsidRPr="007D0760">
        <w:rPr>
          <w:i/>
          <w:iCs/>
          <w:color w:val="000000"/>
          <w:sz w:val="24"/>
          <w:szCs w:val="24"/>
          <w:lang w:eastAsia="ru-RU" w:bidi="ru-RU"/>
        </w:rPr>
        <w:t>Климат и метеорологические условия</w:t>
      </w:r>
    </w:p>
    <w:p w:rsidR="008814DD" w:rsidRPr="007D0760" w:rsidRDefault="008814DD" w:rsidP="007D0760">
      <w:pPr>
        <w:pStyle w:val="a7"/>
        <w:shd w:val="clear" w:color="auto" w:fill="auto"/>
        <w:ind w:left="180" w:firstLine="86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Климат Гомеля, как и всей республики</w:t>
      </w:r>
      <w:r w:rsidR="006B55CB" w:rsidRPr="007D0760">
        <w:rPr>
          <w:color w:val="000000"/>
          <w:sz w:val="24"/>
          <w:szCs w:val="24"/>
          <w:lang w:eastAsia="ru-RU" w:bidi="ru-RU"/>
        </w:rPr>
        <w:t>, умеренно континентальный. Гео</w:t>
      </w:r>
      <w:r w:rsidRPr="007D0760">
        <w:rPr>
          <w:color w:val="000000"/>
          <w:sz w:val="24"/>
          <w:szCs w:val="24"/>
          <w:lang w:eastAsia="ru-RU" w:bidi="ru-RU"/>
        </w:rPr>
        <w:t>графическое положение города обусловливает в</w:t>
      </w:r>
      <w:r w:rsidR="006B55CB" w:rsidRPr="007D0760">
        <w:rPr>
          <w:color w:val="000000"/>
          <w:sz w:val="24"/>
          <w:szCs w:val="24"/>
          <w:lang w:eastAsia="ru-RU" w:bidi="ru-RU"/>
        </w:rPr>
        <w:t>еличину прихода солнечной радиа</w:t>
      </w:r>
      <w:r w:rsidRPr="007D0760">
        <w:rPr>
          <w:color w:val="000000"/>
          <w:sz w:val="24"/>
          <w:szCs w:val="24"/>
          <w:lang w:eastAsia="ru-RU" w:bidi="ru-RU"/>
        </w:rPr>
        <w:t>ции и господствующий здесь характер циркуляции атмосферы. Годовая суммарная радиация составляет 3980 МДж/м</w:t>
      </w:r>
      <w:r w:rsidRPr="007D0760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7D0760">
        <w:rPr>
          <w:color w:val="000000"/>
          <w:sz w:val="24"/>
          <w:szCs w:val="24"/>
          <w:lang w:eastAsia="ru-RU" w:bidi="ru-RU"/>
        </w:rPr>
        <w:t xml:space="preserve"> (95,1 ккал/см</w:t>
      </w:r>
      <w:r w:rsidRPr="007D0760">
        <w:rPr>
          <w:color w:val="000000"/>
          <w:sz w:val="24"/>
          <w:szCs w:val="24"/>
          <w:vertAlign w:val="superscript"/>
          <w:lang w:eastAsia="ru-RU" w:bidi="ru-RU"/>
        </w:rPr>
        <w:t>2</w:t>
      </w:r>
      <w:r w:rsidRPr="007D0760">
        <w:rPr>
          <w:color w:val="000000"/>
          <w:sz w:val="24"/>
          <w:szCs w:val="24"/>
          <w:lang w:eastAsia="ru-RU" w:bidi="ru-RU"/>
        </w:rPr>
        <w:t>).</w:t>
      </w:r>
    </w:p>
    <w:p w:rsidR="008814DD" w:rsidRPr="007D0760" w:rsidRDefault="008814DD" w:rsidP="007D0760">
      <w:pPr>
        <w:pStyle w:val="a7"/>
        <w:shd w:val="clear" w:color="auto" w:fill="auto"/>
        <w:ind w:left="1040" w:firstLine="0"/>
        <w:jc w:val="both"/>
        <w:rPr>
          <w:sz w:val="24"/>
          <w:szCs w:val="24"/>
        </w:rPr>
      </w:pPr>
      <w:r w:rsidRPr="007D0760">
        <w:rPr>
          <w:color w:val="000000"/>
          <w:sz w:val="24"/>
          <w:szCs w:val="24"/>
          <w:lang w:eastAsia="ru-RU" w:bidi="ru-RU"/>
        </w:rPr>
        <w:t>Среднегодовая температура воздуха в Гомеле - 6,2 °С.</w:t>
      </w:r>
    </w:p>
    <w:p w:rsidR="008B3479" w:rsidRPr="007D0760" w:rsidRDefault="008814DD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Распределение атмосферного давления формирует режим ветра. В Гомеле наблюдаются ветры всех направлений, зимой преобладают южные, летом - запад</w:t>
      </w:r>
      <w:r w:rsidRPr="007D0760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>ные и северо-западные. Средние скорости ветра невелики, в среднем за год 3,8 м/с, в январе - 3,3 м/с, в июле - 2,5 м/с.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479" w:rsidRPr="007D0760" w:rsidRDefault="00437982" w:rsidP="007D07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b/>
          <w:sz w:val="24"/>
          <w:szCs w:val="24"/>
          <w:lang w:val="ru-RU"/>
        </w:rPr>
        <w:t>4. Сведения о предполагаемых методах и методиках прогнозирования и оценки, которые будут использованы для ОВОС.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3479" w:rsidRPr="007D0760" w:rsidRDefault="00437982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B3479" w:rsidRPr="007D0760">
        <w:rPr>
          <w:rFonts w:ascii="Times New Roman" w:hAnsi="Times New Roman" w:cs="Times New Roman"/>
          <w:sz w:val="24"/>
          <w:szCs w:val="24"/>
          <w:lang w:val="ru-RU"/>
        </w:rPr>
        <w:t>и проведении ОВОС используется: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достоверная и 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>актуальная исходная информация;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 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>методы и методики прогнозирования, оценки и расчетные данные,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>в соответствии с нормативно-правовыми актами, техническими нормативно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>правовыми актами Республики Беларусь.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479" w:rsidRPr="007D0760" w:rsidRDefault="00437982" w:rsidP="007D07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b/>
          <w:sz w:val="24"/>
          <w:szCs w:val="24"/>
          <w:lang w:val="ru-RU"/>
        </w:rPr>
        <w:t>5. Информация по следующим разделам будет приведена в отчете об ОВОС:</w:t>
      </w:r>
    </w:p>
    <w:p w:rsidR="008B3479" w:rsidRPr="007D0760" w:rsidRDefault="008B3479" w:rsidP="007D07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3479" w:rsidRPr="007D0760" w:rsidRDefault="007F7CB4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«Оценка существующего состояния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окружающей среды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региона планируемой деятельности»</w:t>
      </w:r>
      <w:r w:rsidR="00755172" w:rsidRPr="007D07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3479" w:rsidRPr="007D0760" w:rsidRDefault="00755172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>«Воздействие планируемой деятельности на окружающую среду»</w:t>
      </w:r>
      <w:r w:rsidR="00437982" w:rsidRPr="007D07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3479" w:rsidRPr="007D0760" w:rsidRDefault="00437982" w:rsidP="007D07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172" w:rsidRPr="007D0760">
        <w:rPr>
          <w:rFonts w:ascii="Times New Roman" w:hAnsi="Times New Roman" w:cs="Times New Roman"/>
          <w:sz w:val="24"/>
          <w:szCs w:val="24"/>
          <w:lang w:val="ru-RU"/>
        </w:rPr>
        <w:t>«Прогноз и оценка возможного изменения состояния окружающей среды»</w:t>
      </w:r>
      <w:r w:rsidRPr="007D076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55172" w:rsidRPr="007D0760" w:rsidRDefault="00755172" w:rsidP="007D0760">
      <w:pPr>
        <w:pStyle w:val="a7"/>
        <w:shd w:val="clear" w:color="auto" w:fill="auto"/>
        <w:ind w:firstLine="0"/>
        <w:jc w:val="both"/>
        <w:rPr>
          <w:sz w:val="24"/>
          <w:szCs w:val="24"/>
        </w:rPr>
      </w:pPr>
      <w:r w:rsidRPr="007D0760">
        <w:rPr>
          <w:sz w:val="24"/>
          <w:szCs w:val="24"/>
        </w:rPr>
        <w:t>«</w:t>
      </w:r>
      <w:r w:rsidRPr="007D0760">
        <w:rPr>
          <w:sz w:val="24"/>
          <w:szCs w:val="24"/>
        </w:rPr>
        <w:t>Мероприятия по предотвращению, минимизации и компенсации воздействия планируемой деятельности</w:t>
      </w:r>
      <w:r w:rsidRPr="007D0760">
        <w:rPr>
          <w:sz w:val="24"/>
          <w:szCs w:val="24"/>
        </w:rPr>
        <w:t>»;</w:t>
      </w:r>
    </w:p>
    <w:p w:rsidR="00755172" w:rsidRPr="007D0760" w:rsidRDefault="00755172" w:rsidP="007D0760">
      <w:pPr>
        <w:pStyle w:val="a7"/>
        <w:shd w:val="clear" w:color="auto" w:fill="auto"/>
        <w:ind w:firstLine="0"/>
        <w:jc w:val="both"/>
        <w:rPr>
          <w:sz w:val="24"/>
          <w:szCs w:val="24"/>
        </w:rPr>
      </w:pPr>
      <w:r w:rsidRPr="007D0760">
        <w:rPr>
          <w:sz w:val="24"/>
          <w:szCs w:val="24"/>
        </w:rPr>
        <w:t>«</w:t>
      </w:r>
      <w:r w:rsidRPr="007D0760">
        <w:rPr>
          <w:sz w:val="24"/>
          <w:szCs w:val="24"/>
        </w:rPr>
        <w:t>Оценка возможного трансграничного воздействия планируемой дея</w:t>
      </w:r>
      <w:r w:rsidRPr="007D0760">
        <w:rPr>
          <w:sz w:val="24"/>
          <w:szCs w:val="24"/>
        </w:rPr>
        <w:softHyphen/>
        <w:t>тельности</w:t>
      </w:r>
      <w:r w:rsidRPr="007D0760">
        <w:rPr>
          <w:sz w:val="24"/>
          <w:szCs w:val="24"/>
        </w:rPr>
        <w:t>»;</w:t>
      </w:r>
    </w:p>
    <w:p w:rsidR="00755172" w:rsidRPr="007D0760" w:rsidRDefault="00755172" w:rsidP="007D0760">
      <w:pPr>
        <w:pStyle w:val="a7"/>
        <w:shd w:val="clear" w:color="auto" w:fill="auto"/>
        <w:spacing w:after="120"/>
        <w:ind w:firstLine="0"/>
        <w:jc w:val="both"/>
        <w:rPr>
          <w:sz w:val="24"/>
          <w:szCs w:val="24"/>
        </w:rPr>
      </w:pPr>
      <w:r w:rsidRPr="007D0760">
        <w:rPr>
          <w:sz w:val="24"/>
          <w:szCs w:val="24"/>
        </w:rPr>
        <w:t>«</w:t>
      </w:r>
      <w:r w:rsidRPr="007D0760">
        <w:rPr>
          <w:sz w:val="24"/>
          <w:szCs w:val="24"/>
        </w:rPr>
        <w:t xml:space="preserve">Программа </w:t>
      </w:r>
      <w:proofErr w:type="spellStart"/>
      <w:r w:rsidRPr="007D0760">
        <w:rPr>
          <w:sz w:val="24"/>
          <w:szCs w:val="24"/>
        </w:rPr>
        <w:t>послепроектного</w:t>
      </w:r>
      <w:proofErr w:type="spellEnd"/>
      <w:r w:rsidRPr="007D0760">
        <w:rPr>
          <w:sz w:val="24"/>
          <w:szCs w:val="24"/>
        </w:rPr>
        <w:t xml:space="preserve"> анализа (локального мониторинга)</w:t>
      </w:r>
      <w:r w:rsidRPr="007D0760">
        <w:rPr>
          <w:sz w:val="24"/>
          <w:szCs w:val="24"/>
        </w:rPr>
        <w:t>».</w:t>
      </w:r>
    </w:p>
    <w:p w:rsidR="009F56A3" w:rsidRPr="007D0760" w:rsidRDefault="009F56A3" w:rsidP="007D0760">
      <w:pPr>
        <w:jc w:val="both"/>
        <w:rPr>
          <w:sz w:val="24"/>
          <w:szCs w:val="24"/>
          <w:lang w:val="ru-RU"/>
        </w:rPr>
      </w:pPr>
    </w:p>
    <w:p w:rsidR="009F7A17" w:rsidRPr="007D0760" w:rsidRDefault="00E77649" w:rsidP="007D07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F7A17" w:rsidRPr="007D07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29AB"/>
    <w:multiLevelType w:val="multilevel"/>
    <w:tmpl w:val="99943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3"/>
    <w:rsid w:val="00001E63"/>
    <w:rsid w:val="000E2824"/>
    <w:rsid w:val="001A507D"/>
    <w:rsid w:val="00201197"/>
    <w:rsid w:val="00205B40"/>
    <w:rsid w:val="00275ED8"/>
    <w:rsid w:val="00320B90"/>
    <w:rsid w:val="003732AB"/>
    <w:rsid w:val="003776BA"/>
    <w:rsid w:val="00437982"/>
    <w:rsid w:val="005C6846"/>
    <w:rsid w:val="006353E4"/>
    <w:rsid w:val="006B55CB"/>
    <w:rsid w:val="006F5EA8"/>
    <w:rsid w:val="00755172"/>
    <w:rsid w:val="007928F0"/>
    <w:rsid w:val="007D0760"/>
    <w:rsid w:val="007F7CB4"/>
    <w:rsid w:val="008814DD"/>
    <w:rsid w:val="00896C2D"/>
    <w:rsid w:val="008B3479"/>
    <w:rsid w:val="008C3D8C"/>
    <w:rsid w:val="008D3A5D"/>
    <w:rsid w:val="009F56A3"/>
    <w:rsid w:val="00A01447"/>
    <w:rsid w:val="00B02A44"/>
    <w:rsid w:val="00B23FE6"/>
    <w:rsid w:val="00C35867"/>
    <w:rsid w:val="00D26E17"/>
    <w:rsid w:val="00DD0E99"/>
    <w:rsid w:val="00F00814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E65"/>
  <w15:chartTrackingRefBased/>
  <w15:docId w15:val="{7C25B817-2A6D-4F1B-B6BC-0267FCB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F56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F56A3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2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17"/>
    <w:rPr>
      <w:rFonts w:ascii="Segoe UI" w:hAnsi="Segoe UI" w:cs="Segoe UI"/>
      <w:sz w:val="18"/>
      <w:szCs w:val="18"/>
      <w:lang w:val="en-US"/>
    </w:rPr>
  </w:style>
  <w:style w:type="character" w:customStyle="1" w:styleId="a6">
    <w:name w:val="Основной текст Знак"/>
    <w:basedOn w:val="a0"/>
    <w:link w:val="a7"/>
    <w:rsid w:val="00881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qFormat/>
    <w:rsid w:val="008814D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8814DD"/>
    <w:rPr>
      <w:lang w:val="en-US"/>
    </w:rPr>
  </w:style>
  <w:style w:type="character" w:customStyle="1" w:styleId="Heading6">
    <w:name w:val="Heading #6_"/>
    <w:basedOn w:val="a0"/>
    <w:link w:val="Heading60"/>
    <w:rsid w:val="008814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60">
    <w:name w:val="Heading #6"/>
    <w:basedOn w:val="a"/>
    <w:link w:val="Heading6"/>
    <w:rsid w:val="008814DD"/>
    <w:pPr>
      <w:widowControl w:val="0"/>
      <w:shd w:val="clear" w:color="auto" w:fill="FFFFFF"/>
      <w:spacing w:after="230" w:line="240" w:lineRule="auto"/>
      <w:ind w:firstLine="860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Наталья Николаевна</dc:creator>
  <cp:keywords/>
  <dc:description/>
  <cp:lastModifiedBy>Кирилл Гапеев</cp:lastModifiedBy>
  <cp:revision>2</cp:revision>
  <cp:lastPrinted>2022-10-17T14:03:00Z</cp:lastPrinted>
  <dcterms:created xsi:type="dcterms:W3CDTF">2022-10-20T05:00:00Z</dcterms:created>
  <dcterms:modified xsi:type="dcterms:W3CDTF">2022-10-20T05:00:00Z</dcterms:modified>
</cp:coreProperties>
</file>