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06" w:rsidRDefault="00E84F06" w:rsidP="00E84F06">
      <w:r>
        <w:t>ГОМЕЛЬСКИЙ     ГОРОДСКОЙ      СОВЕТ    ДЕПУТАТОВ</w:t>
      </w:r>
    </w:p>
    <w:p w:rsidR="00E84F06" w:rsidRDefault="00E84F06" w:rsidP="00E84F06">
      <w:r>
        <w:t>РЕШЕНИЕ</w:t>
      </w:r>
    </w:p>
    <w:p w:rsidR="00E84F06" w:rsidRDefault="00E84F06" w:rsidP="00E84F06"/>
    <w:p w:rsidR="00E84F06" w:rsidRDefault="00E84F06" w:rsidP="00E84F06">
      <w:r>
        <w:t>16  июня 2021 года № 229</w:t>
      </w:r>
    </w:p>
    <w:p w:rsidR="00E84F06" w:rsidRDefault="00E84F06" w:rsidP="00E84F06">
      <w:r>
        <w:t>г. Гомель</w:t>
      </w:r>
    </w:p>
    <w:p w:rsidR="00815149" w:rsidRPr="00815149" w:rsidRDefault="00815149" w:rsidP="00815149">
      <w:pPr>
        <w:tabs>
          <w:tab w:val="left" w:pos="9639"/>
        </w:tabs>
        <w:spacing w:before="160" w:after="160"/>
        <w:jc w:val="center"/>
        <w:rPr>
          <w:rFonts w:eastAsia="Times New Roman"/>
          <w:sz w:val="24"/>
          <w:szCs w:val="24"/>
        </w:rPr>
      </w:pPr>
    </w:p>
    <w:p w:rsidR="00815149" w:rsidRPr="00815149" w:rsidRDefault="00815149" w:rsidP="00815149">
      <w:pPr>
        <w:tabs>
          <w:tab w:val="left" w:pos="5812"/>
          <w:tab w:val="left" w:pos="9639"/>
        </w:tabs>
        <w:spacing w:line="280" w:lineRule="exact"/>
        <w:ind w:right="5294"/>
        <w:rPr>
          <w:rFonts w:eastAsia="Times New Roman"/>
          <w:bCs/>
          <w:sz w:val="30"/>
        </w:rPr>
      </w:pPr>
    </w:p>
    <w:p w:rsidR="00815149" w:rsidRDefault="00815149" w:rsidP="00815149">
      <w:pPr>
        <w:tabs>
          <w:tab w:val="left" w:pos="5812"/>
          <w:tab w:val="left" w:pos="9639"/>
        </w:tabs>
        <w:spacing w:line="280" w:lineRule="exact"/>
        <w:ind w:right="5294"/>
        <w:rPr>
          <w:rFonts w:eastAsia="Times New Roman"/>
          <w:bCs/>
          <w:sz w:val="30"/>
        </w:rPr>
      </w:pPr>
    </w:p>
    <w:p w:rsidR="00E84F06" w:rsidRPr="00815149" w:rsidRDefault="00E84F06" w:rsidP="00815149">
      <w:pPr>
        <w:tabs>
          <w:tab w:val="left" w:pos="5812"/>
          <w:tab w:val="left" w:pos="9639"/>
        </w:tabs>
        <w:spacing w:line="280" w:lineRule="exact"/>
        <w:ind w:right="5294"/>
        <w:rPr>
          <w:rFonts w:eastAsia="Times New Roman"/>
          <w:bCs/>
          <w:sz w:val="30"/>
        </w:rPr>
      </w:pPr>
    </w:p>
    <w:p w:rsidR="00D46BB3" w:rsidRPr="00815149" w:rsidRDefault="00D46BB3" w:rsidP="00D46BB3">
      <w:pPr>
        <w:tabs>
          <w:tab w:val="left" w:pos="5812"/>
          <w:tab w:val="left" w:pos="5954"/>
          <w:tab w:val="left" w:pos="9639"/>
          <w:tab w:val="left" w:pos="9923"/>
        </w:tabs>
        <w:spacing w:line="280" w:lineRule="exact"/>
        <w:ind w:right="5442"/>
        <w:rPr>
          <w:rFonts w:eastAsia="Times New Roman"/>
          <w:bCs/>
          <w:sz w:val="30"/>
        </w:rPr>
      </w:pPr>
      <w:bookmarkStart w:id="0" w:name="_GoBack"/>
      <w:r w:rsidRPr="00815149">
        <w:rPr>
          <w:rFonts w:eastAsia="Times New Roman"/>
          <w:bCs/>
          <w:sz w:val="30"/>
        </w:rPr>
        <w:t xml:space="preserve">О мерах дополнительной социальной поддержки отдельным категориям </w:t>
      </w:r>
      <w:r>
        <w:rPr>
          <w:rFonts w:eastAsia="Times New Roman"/>
          <w:bCs/>
          <w:sz w:val="30"/>
        </w:rPr>
        <w:t>г</w:t>
      </w:r>
      <w:r w:rsidRPr="00815149">
        <w:rPr>
          <w:rFonts w:eastAsia="Times New Roman"/>
          <w:bCs/>
          <w:sz w:val="30"/>
        </w:rPr>
        <w:t>раждан</w:t>
      </w:r>
    </w:p>
    <w:bookmarkEnd w:id="0"/>
    <w:p w:rsidR="00D46BB3" w:rsidRPr="00815149" w:rsidRDefault="00D46BB3" w:rsidP="00D46BB3">
      <w:pPr>
        <w:tabs>
          <w:tab w:val="left" w:pos="9639"/>
          <w:tab w:val="left" w:pos="9923"/>
        </w:tabs>
        <w:spacing w:line="280" w:lineRule="exact"/>
        <w:ind w:right="2268" w:firstLine="709"/>
        <w:rPr>
          <w:rFonts w:eastAsia="Times New Roman"/>
          <w:bCs/>
          <w:sz w:val="30"/>
        </w:rPr>
      </w:pPr>
    </w:p>
    <w:p w:rsidR="00D46BB3" w:rsidRPr="00815149" w:rsidRDefault="00D46BB3" w:rsidP="00D46BB3">
      <w:pPr>
        <w:tabs>
          <w:tab w:val="left" w:pos="9639"/>
          <w:tab w:val="left" w:pos="9923"/>
        </w:tabs>
        <w:spacing w:before="160" w:after="160"/>
        <w:ind w:firstLine="709"/>
        <w:jc w:val="both"/>
        <w:rPr>
          <w:rFonts w:eastAsia="Times New Roman"/>
          <w:sz w:val="30"/>
        </w:rPr>
      </w:pPr>
      <w:r w:rsidRPr="00815149">
        <w:rPr>
          <w:rFonts w:eastAsia="Times New Roman"/>
          <w:sz w:val="30"/>
        </w:rPr>
        <w:t xml:space="preserve">На основании </w:t>
      </w:r>
      <w:hyperlink r:id="rId5" w:anchor="a6" w:tooltip="+" w:history="1">
        <w:r w:rsidRPr="00815149">
          <w:rPr>
            <w:rFonts w:eastAsia="Times New Roman"/>
            <w:sz w:val="30"/>
          </w:rPr>
          <w:t>подпункта 2.4</w:t>
        </w:r>
      </w:hyperlink>
      <w:r w:rsidRPr="00815149">
        <w:rPr>
          <w:rFonts w:eastAsia="Times New Roman"/>
          <w:sz w:val="30"/>
        </w:rPr>
        <w:t xml:space="preserve"> пункта 2 Указа Президента Республики Беларусь от 23 февраля 2016 г. №78 «О мерах по повышению эффективности социально-экономического комплекса Республики Беларусь» и </w:t>
      </w:r>
      <w:hyperlink r:id="rId6" w:anchor="a166" w:tooltip="+" w:history="1">
        <w:r w:rsidRPr="00815149">
          <w:rPr>
            <w:rFonts w:eastAsia="Times New Roman"/>
            <w:sz w:val="30"/>
          </w:rPr>
          <w:t>подпункта 1.2</w:t>
        </w:r>
        <w:r w:rsidRPr="00815149">
          <w:rPr>
            <w:rFonts w:eastAsia="Times New Roman"/>
            <w:sz w:val="30"/>
            <w:vertAlign w:val="superscript"/>
          </w:rPr>
          <w:t>1</w:t>
        </w:r>
      </w:hyperlink>
      <w:r w:rsidRPr="00815149">
        <w:rPr>
          <w:rFonts w:eastAsia="Times New Roman"/>
          <w:sz w:val="30"/>
          <w:vertAlign w:val="superscript"/>
        </w:rPr>
        <w:t xml:space="preserve"> </w:t>
      </w:r>
      <w:r w:rsidRPr="00815149">
        <w:rPr>
          <w:rFonts w:eastAsia="Times New Roman"/>
          <w:sz w:val="30"/>
        </w:rPr>
        <w:t>пункта 1 статьи 19</w:t>
      </w:r>
      <w:r>
        <w:rPr>
          <w:rFonts w:eastAsia="Times New Roman"/>
          <w:sz w:val="30"/>
        </w:rPr>
        <w:t xml:space="preserve"> </w:t>
      </w:r>
      <w:r w:rsidRPr="00815149">
        <w:rPr>
          <w:rFonts w:eastAsia="Times New Roman"/>
          <w:sz w:val="30"/>
        </w:rPr>
        <w:t xml:space="preserve"> Закона Республики Беларусь от 4 января 2010 г. №108-З «О местном управлении и самоуправлении в Республике Беларусь» Гомельский городской Совет депутатов </w:t>
      </w:r>
    </w:p>
    <w:p w:rsidR="00D46BB3" w:rsidRPr="00815149" w:rsidRDefault="00D46BB3" w:rsidP="00D46BB3">
      <w:pPr>
        <w:tabs>
          <w:tab w:val="left" w:pos="9639"/>
        </w:tabs>
        <w:spacing w:line="360" w:lineRule="auto"/>
        <w:ind w:firstLine="567"/>
        <w:jc w:val="both"/>
        <w:rPr>
          <w:rFonts w:eastAsia="Times New Roman"/>
          <w:sz w:val="30"/>
        </w:rPr>
      </w:pPr>
    </w:p>
    <w:p w:rsidR="00D46BB3" w:rsidRPr="00815149" w:rsidRDefault="00D46BB3" w:rsidP="00D46BB3">
      <w:pPr>
        <w:tabs>
          <w:tab w:val="left" w:pos="9639"/>
        </w:tabs>
        <w:spacing w:line="360" w:lineRule="auto"/>
        <w:jc w:val="both"/>
        <w:rPr>
          <w:rFonts w:eastAsia="Times New Roman"/>
          <w:sz w:val="30"/>
        </w:rPr>
      </w:pPr>
      <w:r w:rsidRPr="00815149">
        <w:rPr>
          <w:rFonts w:eastAsia="Times New Roman"/>
          <w:sz w:val="30"/>
        </w:rPr>
        <w:t>РЕШИЛ:</w:t>
      </w:r>
    </w:p>
    <w:p w:rsidR="00D46BB3" w:rsidRDefault="00D46BB3" w:rsidP="00D46BB3">
      <w:pPr>
        <w:tabs>
          <w:tab w:val="left" w:pos="9639"/>
        </w:tabs>
        <w:ind w:firstLine="709"/>
        <w:jc w:val="both"/>
        <w:rPr>
          <w:rFonts w:eastAsia="Times New Roman"/>
          <w:sz w:val="30"/>
        </w:rPr>
      </w:pPr>
      <w:bookmarkStart w:id="1" w:name="a1"/>
      <w:bookmarkEnd w:id="1"/>
    </w:p>
    <w:p w:rsidR="00D46BB3" w:rsidRPr="00815149" w:rsidRDefault="00D46BB3" w:rsidP="00D46BB3">
      <w:pPr>
        <w:tabs>
          <w:tab w:val="left" w:pos="9639"/>
        </w:tabs>
        <w:ind w:firstLine="709"/>
        <w:jc w:val="both"/>
        <w:rPr>
          <w:rFonts w:eastAsia="Times New Roman"/>
          <w:sz w:val="30"/>
        </w:rPr>
      </w:pPr>
      <w:r w:rsidRPr="00815149">
        <w:rPr>
          <w:rFonts w:eastAsia="Times New Roman"/>
          <w:sz w:val="30"/>
        </w:rPr>
        <w:t>1. Установить следующие меры дополнительной социальной поддержки:</w:t>
      </w:r>
    </w:p>
    <w:p w:rsidR="00D46BB3" w:rsidRPr="00815149" w:rsidRDefault="00D46BB3" w:rsidP="00D46BB3">
      <w:pPr>
        <w:ind w:firstLine="709"/>
        <w:jc w:val="both"/>
        <w:rPr>
          <w:rFonts w:eastAsia="Times New Roman"/>
          <w:sz w:val="30"/>
        </w:rPr>
      </w:pPr>
      <w:r w:rsidRPr="00815149">
        <w:rPr>
          <w:rFonts w:eastAsia="Times New Roman"/>
          <w:sz w:val="30"/>
        </w:rPr>
        <w:t xml:space="preserve">1.1. инвалидам I группы, детям-инвалидам в возрасте до 18 лет, имеющим третью или четвертую степень утраты здоровья, инвалидам-колясочникам, </w:t>
      </w:r>
      <w:r w:rsidRPr="00EF5EEB">
        <w:rPr>
          <w:rFonts w:eastAsia="Times New Roman"/>
          <w:sz w:val="30"/>
        </w:rPr>
        <w:t>инвалидам</w:t>
      </w:r>
      <w:r w:rsidRPr="00815149">
        <w:rPr>
          <w:rFonts w:eastAsia="Times New Roman"/>
          <w:sz w:val="30"/>
        </w:rPr>
        <w:t xml:space="preserve"> Великой Отечественной войны, зарегистрированным (постоянно проживающим) в городе Гомеле, в виде предоставления транспортных услуг «социальное такси» специально оборудованным транспортным средством для перевозки на бесплатной основе не чаще одного раза в неделю (для лиц, находящихся на программном гемодиализе, данная услуга предоставляется по мере необходимости); </w:t>
      </w:r>
    </w:p>
    <w:p w:rsidR="00D46BB3" w:rsidRPr="00815149" w:rsidRDefault="00D46BB3" w:rsidP="00D46BB3">
      <w:pPr>
        <w:ind w:firstLine="709"/>
        <w:jc w:val="both"/>
        <w:rPr>
          <w:rFonts w:eastAsia="Times New Roman"/>
          <w:sz w:val="30"/>
        </w:rPr>
      </w:pPr>
      <w:r w:rsidRPr="00815149">
        <w:rPr>
          <w:rFonts w:eastAsia="Times New Roman"/>
          <w:sz w:val="30"/>
        </w:rPr>
        <w:t>1.2</w:t>
      </w:r>
      <w:proofErr w:type="gramStart"/>
      <w:r w:rsidRPr="00815149">
        <w:rPr>
          <w:rFonts w:eastAsia="Times New Roman"/>
          <w:sz w:val="30"/>
        </w:rPr>
        <w:t>. участникам</w:t>
      </w:r>
      <w:proofErr w:type="gramEnd"/>
      <w:r w:rsidRPr="00815149">
        <w:rPr>
          <w:rFonts w:eastAsia="Times New Roman"/>
          <w:sz w:val="30"/>
        </w:rPr>
        <w:t xml:space="preserve"> и инвалидам Великой Отечественной войны, инвалидам боевых действий на территории других государств в виде проведения ремонта принадлежащих им жилых помещений;</w:t>
      </w:r>
    </w:p>
    <w:p w:rsidR="00D46BB3" w:rsidRPr="00815149" w:rsidRDefault="00D46BB3" w:rsidP="00D46BB3">
      <w:pPr>
        <w:ind w:firstLine="709"/>
        <w:jc w:val="both"/>
        <w:rPr>
          <w:rFonts w:eastAsia="Times New Roman"/>
          <w:sz w:val="30"/>
        </w:rPr>
      </w:pPr>
      <w:r w:rsidRPr="00815149">
        <w:rPr>
          <w:rFonts w:eastAsia="Times New Roman"/>
          <w:sz w:val="30"/>
        </w:rPr>
        <w:t>1.3</w:t>
      </w:r>
      <w:proofErr w:type="gramStart"/>
      <w:r w:rsidRPr="00815149">
        <w:rPr>
          <w:rFonts w:eastAsia="Times New Roman"/>
          <w:sz w:val="30"/>
        </w:rPr>
        <w:t>. ветеранам</w:t>
      </w:r>
      <w:proofErr w:type="gramEnd"/>
      <w:r w:rsidRPr="00815149">
        <w:rPr>
          <w:rFonts w:eastAsia="Times New Roman"/>
          <w:sz w:val="30"/>
        </w:rPr>
        <w:t xml:space="preserve"> Великой Отечественной войны, неработающим одиноким пожилым гражданам и одиноким инвалидам I и II группы в виде ремонта и (или) замены печного, газового оборудования, электропроводки, приобретения и установки (замены) автономных пожарных </w:t>
      </w:r>
      <w:proofErr w:type="spellStart"/>
      <w:r w:rsidRPr="00815149">
        <w:rPr>
          <w:rFonts w:eastAsia="Times New Roman"/>
          <w:sz w:val="30"/>
        </w:rPr>
        <w:t>извещателей</w:t>
      </w:r>
      <w:proofErr w:type="spellEnd"/>
      <w:r w:rsidRPr="00815149">
        <w:rPr>
          <w:rFonts w:eastAsia="Times New Roman"/>
          <w:sz w:val="30"/>
        </w:rPr>
        <w:t xml:space="preserve"> </w:t>
      </w:r>
      <w:r w:rsidRPr="00815149">
        <w:rPr>
          <w:rFonts w:eastAsia="Times New Roman"/>
          <w:sz w:val="30"/>
        </w:rPr>
        <w:lastRenderedPageBreak/>
        <w:t>(далее – АПИ), элементов питания к АПИ, АПИ с выводом от них сигнала на сигнально-звуковое устройство из расчета один АПИ на каждую жилую комнату в принадлежащих им жилых помещениях.</w:t>
      </w:r>
    </w:p>
    <w:p w:rsidR="00D46BB3" w:rsidRPr="00815149" w:rsidRDefault="00D46BB3" w:rsidP="00D46BB3">
      <w:pPr>
        <w:ind w:firstLine="709"/>
        <w:jc w:val="both"/>
        <w:rPr>
          <w:rFonts w:eastAsia="Times New Roman"/>
          <w:sz w:val="30"/>
        </w:rPr>
      </w:pPr>
      <w:r w:rsidRPr="00815149">
        <w:rPr>
          <w:rFonts w:eastAsia="Times New Roman"/>
          <w:sz w:val="30"/>
        </w:rPr>
        <w:t xml:space="preserve">2. Расходы на финансирование мер дополнительной социальной поддержки, указанных в </w:t>
      </w:r>
      <w:hyperlink w:anchor="a1" w:tooltip="+" w:history="1">
        <w:r w:rsidRPr="00815149">
          <w:rPr>
            <w:rFonts w:eastAsia="Times New Roman"/>
            <w:sz w:val="30"/>
          </w:rPr>
          <w:t>пункте 1</w:t>
        </w:r>
      </w:hyperlink>
      <w:r w:rsidRPr="00815149">
        <w:rPr>
          <w:rFonts w:eastAsia="Times New Roman"/>
          <w:sz w:val="30"/>
        </w:rPr>
        <w:t xml:space="preserve"> настоящего решения, производить в пределах ассигнований, предусмотренных в городском бюджете по подразделу 08 раздела 10 «Другие вопросы в области социальной политики».</w:t>
      </w:r>
    </w:p>
    <w:p w:rsidR="00D46BB3" w:rsidRPr="00815149" w:rsidRDefault="00D46BB3" w:rsidP="00D46BB3">
      <w:pPr>
        <w:ind w:firstLine="709"/>
        <w:jc w:val="both"/>
        <w:rPr>
          <w:rFonts w:eastAsia="Times New Roman"/>
          <w:sz w:val="30"/>
        </w:rPr>
      </w:pPr>
      <w:r w:rsidRPr="00815149">
        <w:rPr>
          <w:rFonts w:eastAsia="Times New Roman"/>
          <w:sz w:val="30"/>
        </w:rPr>
        <w:t>3. Контроль за исполнением настоящего решения возложить на заместителей председателя Гомельского городского исполнительного комитета по курируемым направлениям.</w:t>
      </w:r>
    </w:p>
    <w:p w:rsidR="00D46BB3" w:rsidRPr="00815149" w:rsidRDefault="00D46BB3" w:rsidP="00D46BB3">
      <w:pPr>
        <w:ind w:firstLine="709"/>
        <w:jc w:val="both"/>
        <w:rPr>
          <w:rFonts w:eastAsia="Times New Roman"/>
          <w:sz w:val="30"/>
        </w:rPr>
      </w:pPr>
      <w:r w:rsidRPr="00815149">
        <w:rPr>
          <w:rFonts w:eastAsia="Times New Roman"/>
          <w:sz w:val="30"/>
        </w:rPr>
        <w:t>4. Признать утратившим силу решение Гомельского городского Совета депутатов  от 4 мая 2017 г. №141 «О мерах дополнительной социальной поддержки отдельным категориям граждан».</w:t>
      </w:r>
    </w:p>
    <w:p w:rsidR="00D46BB3" w:rsidRPr="00815149" w:rsidRDefault="00D46BB3" w:rsidP="00D46BB3">
      <w:pPr>
        <w:ind w:firstLine="709"/>
        <w:jc w:val="both"/>
        <w:rPr>
          <w:rFonts w:eastAsia="Times New Roman"/>
          <w:sz w:val="30"/>
        </w:rPr>
      </w:pPr>
      <w:r w:rsidRPr="00815149">
        <w:rPr>
          <w:rFonts w:eastAsia="Times New Roman"/>
          <w:sz w:val="30"/>
        </w:rPr>
        <w:t xml:space="preserve">5. Настоящее решение вступает в силу </w:t>
      </w:r>
      <w:r>
        <w:rPr>
          <w:rFonts w:eastAsia="Times New Roman"/>
          <w:sz w:val="30"/>
        </w:rPr>
        <w:t>после его официального опубликования.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4850"/>
      </w:tblGrid>
      <w:tr w:rsidR="00D46BB3" w:rsidRPr="00815149" w:rsidTr="00114B13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46BB3" w:rsidRDefault="00D46BB3" w:rsidP="00114B13">
            <w:pPr>
              <w:spacing w:before="160" w:after="160"/>
              <w:rPr>
                <w:rFonts w:eastAsia="Times New Roman"/>
                <w:sz w:val="30"/>
              </w:rPr>
            </w:pPr>
            <w:r w:rsidRPr="00815149">
              <w:rPr>
                <w:rFonts w:eastAsia="Times New Roman"/>
                <w:sz w:val="30"/>
              </w:rPr>
              <w:t> </w:t>
            </w:r>
          </w:p>
          <w:p w:rsidR="00D46BB3" w:rsidRPr="00815149" w:rsidRDefault="00D46BB3" w:rsidP="00114B13">
            <w:pPr>
              <w:spacing w:before="160" w:after="160"/>
              <w:rPr>
                <w:rFonts w:eastAsia="Times New Roman"/>
                <w:sz w:val="30"/>
              </w:rPr>
            </w:pPr>
            <w:r w:rsidRPr="00815149">
              <w:rPr>
                <w:rFonts w:eastAsia="Times New Roman"/>
                <w:sz w:val="30"/>
              </w:rPr>
              <w:t>Председатель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46BB3" w:rsidRPr="00815149" w:rsidRDefault="00D46BB3" w:rsidP="00114B13">
            <w:pPr>
              <w:spacing w:before="160" w:after="160"/>
              <w:ind w:left="1702"/>
              <w:jc w:val="both"/>
              <w:rPr>
                <w:rFonts w:eastAsia="Times New Roman"/>
                <w:sz w:val="30"/>
              </w:rPr>
            </w:pPr>
            <w:proofErr w:type="spellStart"/>
            <w:r w:rsidRPr="00815149">
              <w:rPr>
                <w:rFonts w:eastAsia="Times New Roman"/>
                <w:sz w:val="30"/>
              </w:rPr>
              <w:t>Н.Н.Ковалевич</w:t>
            </w:r>
            <w:proofErr w:type="spellEnd"/>
          </w:p>
        </w:tc>
      </w:tr>
    </w:tbl>
    <w:p w:rsidR="00CB36AF" w:rsidRDefault="00CB36AF" w:rsidP="00CB36AF">
      <w:pPr>
        <w:spacing w:before="160" w:after="160"/>
        <w:jc w:val="both"/>
        <w:rPr>
          <w:rFonts w:eastAsia="Times New Roman"/>
          <w:sz w:val="24"/>
          <w:szCs w:val="24"/>
        </w:rPr>
      </w:pPr>
    </w:p>
    <w:p w:rsidR="00CB36AF" w:rsidRDefault="00CB36AF" w:rsidP="00CB36AF">
      <w:pPr>
        <w:spacing w:before="160" w:after="160"/>
        <w:jc w:val="both"/>
        <w:rPr>
          <w:rFonts w:eastAsia="Times New Roman"/>
          <w:sz w:val="24"/>
          <w:szCs w:val="24"/>
        </w:rPr>
      </w:pPr>
    </w:p>
    <w:p w:rsidR="00CB36AF" w:rsidRDefault="00CB36AF" w:rsidP="00CB36AF">
      <w:pPr>
        <w:spacing w:before="160" w:after="160"/>
        <w:jc w:val="both"/>
        <w:rPr>
          <w:rFonts w:eastAsia="Times New Roman"/>
          <w:sz w:val="24"/>
          <w:szCs w:val="24"/>
        </w:rPr>
      </w:pPr>
    </w:p>
    <w:p w:rsidR="00815149" w:rsidRPr="00815149" w:rsidRDefault="00815149" w:rsidP="00815149">
      <w:pPr>
        <w:spacing w:before="160" w:after="160"/>
        <w:jc w:val="both"/>
        <w:rPr>
          <w:rFonts w:eastAsia="Times New Roman"/>
          <w:sz w:val="24"/>
          <w:szCs w:val="24"/>
        </w:rPr>
      </w:pPr>
    </w:p>
    <w:p w:rsidR="00815149" w:rsidRPr="00815149" w:rsidRDefault="00815149" w:rsidP="00815149">
      <w:pPr>
        <w:spacing w:before="160" w:after="160"/>
        <w:jc w:val="both"/>
        <w:rPr>
          <w:rFonts w:eastAsia="Times New Roman"/>
          <w:sz w:val="24"/>
          <w:szCs w:val="24"/>
        </w:rPr>
      </w:pPr>
    </w:p>
    <w:p w:rsidR="00815149" w:rsidRDefault="00815149" w:rsidP="00815149">
      <w:pPr>
        <w:spacing w:before="160" w:after="160"/>
        <w:jc w:val="both"/>
        <w:rPr>
          <w:rFonts w:eastAsia="Times New Roman"/>
          <w:sz w:val="24"/>
          <w:szCs w:val="24"/>
        </w:rPr>
      </w:pPr>
    </w:p>
    <w:p w:rsidR="002F2634" w:rsidRDefault="002F2634" w:rsidP="00815149">
      <w:pPr>
        <w:spacing w:before="160" w:after="160"/>
        <w:jc w:val="both"/>
        <w:rPr>
          <w:rFonts w:eastAsia="Times New Roman"/>
          <w:sz w:val="24"/>
          <w:szCs w:val="24"/>
        </w:rPr>
      </w:pPr>
    </w:p>
    <w:p w:rsidR="002F2634" w:rsidRDefault="002F2634" w:rsidP="00815149">
      <w:pPr>
        <w:spacing w:before="160" w:after="160"/>
        <w:jc w:val="both"/>
        <w:rPr>
          <w:rFonts w:eastAsia="Times New Roman"/>
          <w:sz w:val="24"/>
          <w:szCs w:val="24"/>
        </w:rPr>
      </w:pPr>
    </w:p>
    <w:p w:rsidR="002F2634" w:rsidRDefault="002F2634" w:rsidP="00815149">
      <w:pPr>
        <w:spacing w:before="160" w:after="160"/>
        <w:jc w:val="both"/>
        <w:rPr>
          <w:rFonts w:eastAsia="Times New Roman"/>
          <w:sz w:val="24"/>
          <w:szCs w:val="24"/>
        </w:rPr>
      </w:pPr>
    </w:p>
    <w:p w:rsidR="004E1E55" w:rsidRDefault="004E1E55" w:rsidP="00815149">
      <w:pPr>
        <w:spacing w:before="160" w:after="160"/>
        <w:jc w:val="both"/>
        <w:rPr>
          <w:rFonts w:eastAsia="Times New Roman"/>
          <w:sz w:val="24"/>
          <w:szCs w:val="24"/>
        </w:rPr>
      </w:pPr>
    </w:p>
    <w:p w:rsidR="004E1E55" w:rsidRDefault="004E1E55" w:rsidP="00815149">
      <w:pPr>
        <w:spacing w:before="160" w:after="160"/>
        <w:jc w:val="both"/>
        <w:rPr>
          <w:rFonts w:eastAsia="Times New Roman"/>
          <w:sz w:val="24"/>
          <w:szCs w:val="24"/>
        </w:rPr>
      </w:pPr>
    </w:p>
    <w:p w:rsidR="002F2634" w:rsidRPr="00815149" w:rsidRDefault="002F2634" w:rsidP="00815149">
      <w:pPr>
        <w:spacing w:before="160" w:after="160"/>
        <w:jc w:val="both"/>
        <w:rPr>
          <w:rFonts w:eastAsia="Times New Roman"/>
          <w:sz w:val="24"/>
          <w:szCs w:val="24"/>
        </w:rPr>
      </w:pPr>
    </w:p>
    <w:p w:rsidR="00815149" w:rsidRPr="00815149" w:rsidRDefault="00815149" w:rsidP="00815149">
      <w:pPr>
        <w:spacing w:before="160" w:after="160"/>
        <w:jc w:val="both"/>
        <w:rPr>
          <w:rFonts w:eastAsia="Times New Roman"/>
          <w:sz w:val="24"/>
          <w:szCs w:val="24"/>
        </w:rPr>
      </w:pPr>
    </w:p>
    <w:sectPr w:rsidR="00815149" w:rsidRPr="00815149" w:rsidSect="002F2634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51AA5"/>
    <w:multiLevelType w:val="hybridMultilevel"/>
    <w:tmpl w:val="C0BED95C"/>
    <w:lvl w:ilvl="0" w:tplc="850216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BC2CFD"/>
    <w:multiLevelType w:val="multilevel"/>
    <w:tmpl w:val="B6205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49"/>
    <w:rsid w:val="000379A2"/>
    <w:rsid w:val="000F3E21"/>
    <w:rsid w:val="002F2634"/>
    <w:rsid w:val="004E1E55"/>
    <w:rsid w:val="00815149"/>
    <w:rsid w:val="009433A3"/>
    <w:rsid w:val="00BB3358"/>
    <w:rsid w:val="00C30C57"/>
    <w:rsid w:val="00CB36AF"/>
    <w:rsid w:val="00D46BB3"/>
    <w:rsid w:val="00E84F06"/>
    <w:rsid w:val="00E858CC"/>
    <w:rsid w:val="00E96ED3"/>
    <w:rsid w:val="00ED27DF"/>
    <w:rsid w:val="00EF5EEB"/>
    <w:rsid w:val="00F90863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F0715-8326-48DE-8AA8-185EE12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A3"/>
    <w:rPr>
      <w:sz w:val="28"/>
      <w:szCs w:val="30"/>
    </w:rPr>
  </w:style>
  <w:style w:type="paragraph" w:styleId="1">
    <w:name w:val="heading 1"/>
    <w:basedOn w:val="a"/>
    <w:next w:val="a"/>
    <w:link w:val="10"/>
    <w:qFormat/>
    <w:rsid w:val="000F3E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E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F3E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433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433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0F3E21"/>
    <w:rPr>
      <w:i/>
      <w:iCs/>
    </w:rPr>
  </w:style>
  <w:style w:type="paragraph" w:styleId="a8">
    <w:name w:val="List Paragraph"/>
    <w:basedOn w:val="a"/>
    <w:uiPriority w:val="34"/>
    <w:qFormat/>
    <w:rsid w:val="009433A3"/>
    <w:pPr>
      <w:ind w:left="720"/>
      <w:contextualSpacing/>
    </w:pPr>
  </w:style>
  <w:style w:type="table" w:styleId="a9">
    <w:name w:val="Table Grid"/>
    <w:basedOn w:val="a1"/>
    <w:uiPriority w:val="39"/>
    <w:rsid w:val="0081514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08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86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CB3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tx.dll%3fd=178008&amp;a=166" TargetMode="External"/><Relationship Id="rId5" Type="http://schemas.openxmlformats.org/officeDocument/2006/relationships/hyperlink" Target="file:///C:\Users\User\Downloads\tx.dll%3fd=316838&amp;a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ins14</dc:creator>
  <cp:lastModifiedBy>Можченко Инна Викторовна</cp:lastModifiedBy>
  <cp:revision>2</cp:revision>
  <cp:lastPrinted>2021-06-10T08:27:00Z</cp:lastPrinted>
  <dcterms:created xsi:type="dcterms:W3CDTF">2021-07-23T13:53:00Z</dcterms:created>
  <dcterms:modified xsi:type="dcterms:W3CDTF">2021-07-23T13:53:00Z</dcterms:modified>
</cp:coreProperties>
</file>